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بن محمد بن عبد الله العنسي ثم الصنعاني
</w:t>
      </w:r>
    </w:p>
    <w:p>
      <w:pPr>
        <w:jc w:val="start"/>
        <w:bidi/>
      </w:pPr>
      <w:r>
        <w:rPr>
          <w:rFonts w:ascii="arial" w:hAnsi="arial" w:eastAsia="arial" w:cs="arial"/>
          <w:sz w:val="28"/>
          <w:szCs w:val="28"/>
          <w:b w:val="1"/>
          <w:bCs w:val="1"/>
          <w:rtl/>
        </w:rPr>
        <w:t xml:space="preserve">صالح بن محمد بن عبد الله العنسي ثم الصنعاني
</w:t>
      </w:r>
    </w:p>
    <w:p>
      <w:pPr/>
      <w:r>
        <w:rPr/>
        <w:t xml:space="preserve">صالح بن محمد بن عبد الله العنسي ثم الصنعاني </w:t>
      </w:r>
    </w:p>
    <w:p/>
    <w:p>
      <w:pPr/>
      <w:r>
        <w:rPr/>
        <w:t xml:space="preserve">ولد تقريباً على رأس القرن الثاني عشر وأخذ العلم عن جماعة من أهل العلم واستفاد لاسيما في علم الحديث ورجاله فإنه قوي الفائدة فيه جيد الإدراك له وهو من صالحي الفتيان ونجباء شبان الزمان وله قراءة علي في الصحيحين وسنن أبي داود وفي بعض مؤلفاتي</w:t>
      </w:r>
    </w:p>
    <w:p>
      <w:pPr>
        <w:jc w:val="start"/>
        <w:bidi/>
      </w:pPr>
      <w:r>
        <w:rPr>
          <w:sz w:val="24"/>
          <w:szCs w:val="24"/>
          <w:b w:val="1"/>
          <w:bCs w:val="1"/>
          <w:rtl/>
        </w:rPr>
        <w:t xml:space="preserve">
البدر الطالع بمحاسن من بعد القرن السابع،(دار المعرفة - بيروت،0،ط 1،ج 1،ص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2026-07-29T04:27:58+03:00</dcterms:created>
  <dcterms:modified xsi:type="dcterms:W3CDTF">2026-07-29T04:27:58+03:00</dcterms:modified>
</cp:coreProperties>
</file>

<file path=docProps/custom.xml><?xml version="1.0" encoding="utf-8"?>
<Properties xmlns="http://schemas.openxmlformats.org/officeDocument/2006/custom-properties" xmlns:vt="http://schemas.openxmlformats.org/officeDocument/2006/docPropsVTypes"/>
</file>