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جرير الطبري
</w:t>
      </w:r>
    </w:p>
    <w:p>
      <w:pPr>
        <w:jc w:val="start"/>
        <w:bidi/>
      </w:pPr>
      <w:r>
        <w:rPr>
          <w:rFonts w:ascii="arial" w:hAnsi="arial" w:eastAsia="arial" w:cs="arial"/>
          <w:sz w:val="28"/>
          <w:szCs w:val="28"/>
          <w:b w:val="1"/>
          <w:bCs w:val="1"/>
          <w:rtl/>
        </w:rPr>
        <w:t xml:space="preserve">ابن جرير الطبري
</w:t>
      </w:r>
    </w:p>
    <w:p>
      <w:pPr/>
      <w:r>
        <w:rPr/>
        <w:t xml:space="preserve">ابن جرير الطبري رجلان سني وشيعي والثاني أبو جعفر محمد بن جرير رستم بن جرير اتحدا في الكنية والاسم واسم الأب والنسبة ووصف الثاني في لسان الميزان بالميزان بالمعتزلي مبني على الخلط بين الشيعي والمعتزلي للاشتراك في بعض الأصول كما وقع كثيرا.</w:t>
      </w:r>
    </w:p>
    <w:p>
      <w:pPr>
        <w:jc w:val="start"/>
        <w:bidi/>
      </w:pPr>
      <w:r>
        <w:rPr>
          <w:sz w:val="24"/>
          <w:szCs w:val="24"/>
          <w:b w:val="1"/>
          <w:bCs w:val="1"/>
          <w:rtl/>
        </w:rPr>
        <w:t xml:space="preserve">
أعيان الشيعة،(دار التعارف للمطبوعات - بيروت،1983،ط 1،ج 2،ص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2026-10-16T23:50:34+03:00</dcterms:created>
  <dcterms:modified xsi:type="dcterms:W3CDTF">2026-10-16T23:50:34+03:00</dcterms:modified>
</cp:coreProperties>
</file>

<file path=docProps/custom.xml><?xml version="1.0" encoding="utf-8"?>
<Properties xmlns="http://schemas.openxmlformats.org/officeDocument/2006/custom-properties" xmlns:vt="http://schemas.openxmlformats.org/officeDocument/2006/docPropsVTypes"/>
</file>