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أمير الدين بن عبد الله بن نهشل
</w:t>
      </w:r>
    </w:p>
    <w:p>
      <w:pPr>
        <w:jc w:val="start"/>
        <w:bidi/>
      </w:pPr>
      <w:r>
        <w:rPr>
          <w:rFonts w:ascii="arial" w:hAnsi="arial" w:eastAsia="arial" w:cs="arial"/>
          <w:sz w:val="28"/>
          <w:szCs w:val="28"/>
          <w:b w:val="1"/>
          <w:bCs w:val="1"/>
          <w:rtl/>
        </w:rPr>
        <w:t xml:space="preserve">السيد أمير الدين بن عبد الله بن نهشل
</w:t>
      </w:r>
    </w:p>
    <w:p>
      <w:pPr/>
      <w:r>
        <w:rPr/>
        <w:t xml:space="preserve">السيد أمير الدين بن عبد الله بن نهشل </w:t>
      </w:r>
    </w:p>
    <w:p/>
    <w:p>
      <w:pPr/>
      <w:r>
        <w:rPr/>
        <w:t xml:space="preserve">ابن المطهر بن أحمد بن عبد الله بن عز الدين بن محمد بن إبراهيم بن الإمام المطهر بن يحيى هو أحد علماء الزيدية المشاهير قرأ على الإمام شرف الدين وأخذ عنه جماعة منهم الإمام القاسم بن محمد وكان ساكنا بهجرة حوث ومات بها في يوم الثلاثاء التاسع والعشرين من جمادى الآخرة سنة 1029 تسع وعشرين وألف</w:t>
      </w:r>
    </w:p>
    <w:p>
      <w:pPr>
        <w:jc w:val="start"/>
        <w:bidi/>
      </w:pPr>
      <w:r>
        <w:rPr>
          <w:sz w:val="24"/>
          <w:szCs w:val="24"/>
          <w:b w:val="1"/>
          <w:bCs w:val="1"/>
          <w:rtl/>
        </w:rPr>
        <w:t xml:space="preserve">
البدر الطالع بمحاسن من بعد القرن السابع،(دار المعرفة - بيروت،0،ط 1،ج 1،ص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2026-07-28T01:30:19+03:00</dcterms:created>
  <dcterms:modified xsi:type="dcterms:W3CDTF">2026-07-28T01:30:19+03:00</dcterms:modified>
</cp:coreProperties>
</file>

<file path=docProps/custom.xml><?xml version="1.0" encoding="utf-8"?>
<Properties xmlns="http://schemas.openxmlformats.org/officeDocument/2006/custom-properties" xmlns:vt="http://schemas.openxmlformats.org/officeDocument/2006/docPropsVTypes"/>
</file>