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البطائني
</w:t>
      </w:r>
    </w:p>
    <w:p>
      <w:pPr/>
      <w:r>
        <w:rPr/>
        <w:t xml:space="preserve">ابن البطائني اسمه الحسن بن علي بن أبي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البطائني
</w:t>
      </w:r>
    </w:p>
    <w:p>
      <w:pPr/>
      <w:r>
        <w:rPr/>
        <w:t xml:space="preserve">البطائني يوصف به الحسن بن أبي حمزة وولده علي بن أبي حمزة سالم البطائني واقتصر في مجمع الرجال والبحار على الثاني.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ابن أبي حمزة البطائني
</w:t>
      </w:r>
    </w:p>
    <w:p>
      <w:pPr/>
      <w:r>
        <w:rPr/>
        <w:t xml:space="preserve">الحسن بن علي ابن أبي حمزة البطائني يأتي بعنوان الحسن بن علي ابن أبي حمزة سالم البطائني.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2026-10-16T22:45:07+03:00</dcterms:created>
  <dcterms:modified xsi:type="dcterms:W3CDTF">2026-10-16T22:45:07+03:00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