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الدنبلي بن أحمد بن بيك
</w:t>
      </w:r>
    </w:p>
    <w:p>
      <w:pPr>
        <w:jc w:val="start"/>
        <w:bidi/>
      </w:pPr>
      <w:r>
        <w:rPr>
          <w:rFonts w:ascii="arial" w:hAnsi="arial" w:eastAsia="arial" w:cs="arial"/>
          <w:sz w:val="28"/>
          <w:szCs w:val="28"/>
          <w:b w:val="1"/>
          <w:bCs w:val="1"/>
          <w:rtl/>
        </w:rPr>
        <w:t xml:space="preserve">الأمير إبراهيم الدنبلي بن أحمد بن بيك
</w:t>
      </w:r>
    </w:p>
    <w:p>
      <w:pPr/>
      <w:r>
        <w:rPr/>
        <w:t xml:space="preserve">الأمير إبراهيم الدنبلي بن أحمد بن بيك ابن جعفر شمس الملك بن عيسى بن يحيى بن جعفر الثاني بن سليمان بن أحمد بن موسى بن عيسى بن بن يحيى البرمكي وزير هارون الرشيد.</w:t>
      </w:r>
    </w:p>
    <w:p/>
    <w:p>
      <w:pPr/>
      <w:r>
        <w:rPr/>
        <w:t xml:space="preserve">توفي سنة 692 ودفن في مقبرته في محلة دوجي من تبريز كما في آثار الشيعة الإمامية قال وأهالي تلك البلاد يزورونها ويتبركون بها وكان مطاعا نافذ الحكم في تبريز وهي مقره ولما خرج جنكز خان استرضى خاطره وسلم أهالي أذربايجان في فتنته ’’انتهى’’ ويأتي في أحمد بن موسى الدنبلي ما يتعلق بالمقام.</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2026-10-16T06:06:42+03:00</dcterms:created>
  <dcterms:modified xsi:type="dcterms:W3CDTF">2026-10-16T06:06:42+03:00</dcterms:modified>
</cp:coreProperties>
</file>

<file path=docProps/custom.xml><?xml version="1.0" encoding="utf-8"?>
<Properties xmlns="http://schemas.openxmlformats.org/officeDocument/2006/custom-properties" xmlns:vt="http://schemas.openxmlformats.org/officeDocument/2006/docPropsVTypes"/>
</file>