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حفيظ الرحمن واصف بن محمد كفاية الله الدهلوي 
</w:t>
      </w:r>
    </w:p>
    <w:p>
      <w:pPr>
        <w:jc w:val="start"/>
        <w:bidi/>
      </w:pPr>
      <w:r>
        <w:rPr>
          <w:rFonts w:ascii="arial" w:hAnsi="arial" w:eastAsia="arial" w:cs="arial"/>
          <w:sz w:val="28"/>
          <w:szCs w:val="28"/>
          <w:b w:val="1"/>
          <w:bCs w:val="1"/>
          <w:rtl/>
        </w:rPr>
        <w:t xml:space="preserve">حفيظ الرحمن واصف بن محمد كفاية الله الدهلوي 
</w:t>
      </w:r>
    </w:p>
    <w:p>
      <w:pPr/>
      <w:r>
        <w:rPr/>
        <w:t xml:space="preserve">مدير المدرسة الأمينية في دلهي.</w:t>
      </w:r>
    </w:p>
    <w:p/>
    <w:p>
      <w:pPr/>
      <w:r>
        <w:rPr/>
        <w:t xml:space="preserve">وهو نجل العلامة المفتي محمد كفاية الله الدهلوي، الذي يعتبر من أعلام علماء الهند وزعماء حرب التحرير ضد الإنجليز.</w:t>
      </w:r>
    </w:p>
    <w:p/>
    <w:p>
      <w:pPr/>
      <w:r>
        <w:rPr/>
        <w:t xml:space="preserve">كان عالماً دينياً، مشغولاً بتدوين فتاوى والده مفتي الهند الكبير، فتجمعت لديه مجموعة ضخمة من الفتاوى مما يتعلق بجميع نواحي الحياة الاجتماعية والفردية، وقد وفق أن يقوم بتحقيق وتدوين هذه الفتاوى كلها ونشرها في تسعة مجلدات، وهو مشروع جليل يذكر من جميع الأوساط العلمية والدينية.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2026-07-27T23:34:19+03:00</dcterms:created>
  <dcterms:modified xsi:type="dcterms:W3CDTF">2026-07-27T23:34:19+03:00</dcterms:modified>
</cp:coreProperties>
</file>

<file path=docProps/custom.xml><?xml version="1.0" encoding="utf-8"?>
<Properties xmlns="http://schemas.openxmlformats.org/officeDocument/2006/custom-properties" xmlns:vt="http://schemas.openxmlformats.org/officeDocument/2006/docPropsVTypes"/>
</file>