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مجيد أرسلان
</w:t>
      </w:r>
    </w:p>
    <w:p>
      <w:pPr>
        <w:jc w:val="start"/>
        <w:bidi/>
      </w:pPr>
      <w:r>
        <w:rPr>
          <w:rFonts w:ascii="arial" w:hAnsi="arial" w:eastAsia="arial" w:cs="arial"/>
          <w:sz w:val="28"/>
          <w:szCs w:val="28"/>
          <w:b w:val="1"/>
          <w:bCs w:val="1"/>
          <w:rtl/>
        </w:rPr>
        <w:t xml:space="preserve">أمين مجيد أرسلان
</w:t>
      </w:r>
    </w:p>
    <w:p>
      <w:pPr/>
      <w:r>
        <w:rPr/>
        <w:t xml:space="preserve">أمين مجيد أرسلان  امين بن مجيد بن ملحم بن حيدر ارسلان: اديب، من رجال السياسة. من الاسرة الارسلانية. ولد في الشويفات (بلبنان) وتعلم عند اليسوعيين ببيروت. ورحل إلى باريس فاصدر فيها جريدة (كشف النقاب) بالعربية، واشترك مع خليل غانم في اصدار جريدة (تركيا الفتاة) بالعربية والفرنسية، وعينته حكومة السلطان عبد الحميد الثاني قنصلا عاما في بروكسل (عاصمة البلجيك) واستقال بعد الدستور العثماني (سنة 1909 م) فعين قنصلا عاما في الارجنتين، فاقام في بونس ايرس. ثم عاد إلى الصحافة فاصدر مجلة (السمير) شهرية عربية. وتوفي بونس ايرس. له مؤلفات منها (حقوق الملل ومعاهدات الدول - ط) و (اسرار القصور - ط) قصة، و (تاريخ نابليون الاول - ط) نشر تباعا في جريدة لسان الحال ببيروت سنة 1890 م. و (الساسة والسياسة) و (ملكة تدمر أو سيرة اللادى استير ستهوب) و (سيرة أحمد باشا الجزار) و (حصار نابليون لمدينة عكا) وكان قد هيأ بعض الكتب الاخية للطبع ثم لم نعلم عنها بعد وفاته شيئا</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2026-09-20T22:12:21+03:00</dcterms:created>
  <dcterms:modified xsi:type="dcterms:W3CDTF">2026-09-20T22:12:21+03:00</dcterms:modified>
</cp:coreProperties>
</file>

<file path=docProps/custom.xml><?xml version="1.0" encoding="utf-8"?>
<Properties xmlns="http://schemas.openxmlformats.org/officeDocument/2006/custom-properties" xmlns:vt="http://schemas.openxmlformats.org/officeDocument/2006/docPropsVTypes"/>
</file>