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الخنساء بنت التيحان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الخنساء بنت التيحان
</w:t>
      </w:r>
    </w:p>
    <w:p>
      <w:pPr/>
      <w:r>
        <w:rPr/>
        <w:t xml:space="preserve">الخنساء بنت التيحان ترجمتها</w:t>
      </w:r>
    </w:p>
    <w:p/>
    <w:p>
      <w:pPr/>
      <w:r>
        <w:rPr/>
        <w:t xml:space="preserve">لم تعرف لها ترجمة سوى ما جاء في مناسبات الأبيات الآتية, وهذه عدة مناسبات</w:t>
      </w:r>
    </w:p>
    <w:p/>
    <w:p>
      <w:pPr/>
      <w:r>
        <w:rPr/>
        <w:t xml:space="preserve">المناسبة</w:t>
      </w:r>
    </w:p>
    <w:p/>
    <w:p>
      <w:pPr/>
      <w:r>
        <w:rPr/>
        <w:t xml:space="preserve">قالت تتشوق إلى جحوش الخفاشي: (من الطويل)</w:t>
      </w:r>
    </w:p>
    <w:p/>
    <w:p>
      <w:pPr>
        <w:jc w:val="center"/>
      </w:pPr>
      <w:r>
        <w:rPr>
          <w:color w:val="ff0000"/>
        </w:rPr>
        <w:t xml:space="preserve">أمنتذر قتلي إن العين آنست</w:t>
      </w:r>
      <w:r>
        <w:rPr>
          <w:color w:val="ff0000"/>
        </w:rPr>
        <w:t xml:space="preserve">      </w:t>
      </w:r>
      <w:r>
        <w:rPr>
          <w:color w:val="ff0000"/>
        </w:rPr>
        <w:t xml:space="preserve">سنا بارق بالغور غور تهام</w:t>
      </w:r>
    </w:p>
    <w:p/>
    <w:p>
      <w:pPr>
        <w:jc w:val="center"/>
      </w:pPr>
      <w:r>
        <w:rPr>
          <w:color w:val="ff0000"/>
        </w:rPr>
        <w:t xml:space="preserve">فلا زال منهل من الغيث رائح</w:t>
      </w:r>
      <w:r>
        <w:rPr>
          <w:color w:val="ff0000"/>
        </w:rPr>
        <w:t xml:space="preserve">      </w:t>
      </w:r>
      <w:r>
        <w:rPr>
          <w:color w:val="ff0000"/>
        </w:rPr>
        <w:t xml:space="preserve">يقاد إلى أهل الغضا بزمام</w:t>
      </w:r>
    </w:p>
    <w:p/>
    <w:p>
      <w:pPr>
        <w:jc w:val="center"/>
      </w:pPr>
      <w:r>
        <w:rPr>
          <w:color w:val="ff0000"/>
        </w:rPr>
        <w:t xml:space="preserve">ليشرب منه جحوش ويشمه</w:t>
      </w:r>
      <w:r>
        <w:rPr>
          <w:color w:val="ff0000"/>
        </w:rPr>
        <w:t xml:space="preserve">      </w:t>
      </w:r>
      <w:r>
        <w:rPr>
          <w:color w:val="ff0000"/>
        </w:rPr>
        <w:t xml:space="preserve">بعيني قطامي أغر شآمي</w:t>
      </w:r>
    </w:p>
    <w:p/>
    <w:p>
      <w:pPr>
        <w:jc w:val="center"/>
      </w:pPr>
      <w:r>
        <w:rPr>
          <w:color w:val="ff0000"/>
        </w:rPr>
        <w:t xml:space="preserve">بنفسي وأهلي جحوش وكلامه</w:t>
      </w:r>
      <w:r>
        <w:rPr>
          <w:color w:val="ff0000"/>
        </w:rPr>
        <w:t xml:space="preserve">      </w:t>
      </w:r>
      <w:r>
        <w:rPr>
          <w:color w:val="ff0000"/>
        </w:rPr>
        <w:t xml:space="preserve">وأنيابه اللائي جلا ببشام</w:t>
      </w:r>
    </w:p>
    <w:p/>
    <w:p>
      <w:pPr>
        <w:jc w:val="center"/>
      </w:pPr>
      <w:r>
        <w:rPr>
          <w:color w:val="ff0000"/>
        </w:rPr>
        <w:t xml:space="preserve">ألا إن وجدي بالخفاجي جحوش</w:t>
      </w:r>
      <w:r>
        <w:rPr>
          <w:color w:val="ff0000"/>
        </w:rPr>
        <w:t xml:space="preserve">      </w:t>
      </w:r>
      <w:r>
        <w:rPr>
          <w:color w:val="ff0000"/>
        </w:rPr>
        <w:t xml:space="preserve">برى الجسم مني فهو نضو سقام</w:t>
      </w:r>
    </w:p>
    <w:p/>
    <w:p>
      <w:pPr>
        <w:jc w:val="center"/>
      </w:pPr>
      <w:r>
        <w:rPr>
          <w:color w:val="ff0000"/>
        </w:rPr>
        <w:t xml:space="preserve">وأقسم أني قد وجدت بجحوش</w:t>
      </w:r>
      <w:r>
        <w:rPr>
          <w:color w:val="ff0000"/>
        </w:rPr>
        <w:t xml:space="preserve">      </w:t>
      </w:r>
      <w:r>
        <w:rPr>
          <w:color w:val="ff0000"/>
        </w:rPr>
        <w:t xml:space="preserve">كما وجدت عفراء بابن حزام</w:t>
      </w:r>
    </w:p>
    <w:p/>
    <w:p>
      <w:pPr>
        <w:jc w:val="center"/>
      </w:pPr>
      <w:r>
        <w:rPr>
          <w:color w:val="ff0000"/>
        </w:rPr>
        <w:t xml:space="preserve">وما أنا إلا مثلها غير أنني</w:t>
      </w:r>
      <w:r>
        <w:rPr>
          <w:color w:val="ff0000"/>
        </w:rPr>
        <w:t xml:space="preserve">      </w:t>
      </w:r>
      <w:r>
        <w:rPr>
          <w:color w:val="ff0000"/>
        </w:rPr>
        <w:t xml:space="preserve">مؤجلة نفسي لوقت حمام</w:t>
      </w:r>
    </w:p>
    <w:p/>
    <w:p>
      <w:pPr/>
      <w:r>
        <w:rPr/>
        <w:t xml:space="preserve">وقالت أيضا: (من الطويل)</w:t>
      </w:r>
    </w:p>
    <w:p/>
    <w:p>
      <w:pPr>
        <w:jc w:val="center"/>
      </w:pPr>
      <w:r>
        <w:rPr>
          <w:color w:val="ff0000"/>
        </w:rPr>
        <w:t xml:space="preserve">وإن ولوج البيت حل لجحوش</w:t>
      </w:r>
      <w:r>
        <w:rPr>
          <w:color w:val="ff0000"/>
        </w:rPr>
        <w:t xml:space="preserve">      </w:t>
      </w:r>
      <w:r>
        <w:rPr>
          <w:color w:val="ff0000"/>
        </w:rPr>
        <w:t xml:space="preserve">إذا جاء والمستأذنون نيام</w:t>
      </w:r>
    </w:p>
    <w:p/>
    <w:p>
      <w:pPr>
        <w:jc w:val="center"/>
      </w:pPr>
      <w:r>
        <w:rPr>
          <w:color w:val="ff0000"/>
        </w:rPr>
        <w:t xml:space="preserve">فأهل الحجاز معشر قد كرهتم</w:t>
      </w:r>
      <w:r>
        <w:rPr>
          <w:color w:val="ff0000"/>
        </w:rPr>
        <w:t xml:space="preserve">      </w:t>
      </w:r>
      <w:r>
        <w:rPr>
          <w:color w:val="ff0000"/>
        </w:rPr>
        <w:t xml:space="preserve">وأهل الغضا قوم علي كرام</w:t>
      </w:r>
    </w:p>
    <w:p/>
    <w:p>
      <w:pPr/>
      <w:r>
        <w:rPr/>
        <w:t xml:space="preserve">وقالت بنت التيحان تتشوق إلى حبيبها جحوش الخفاشي الشامي: (من الطويل)</w:t>
      </w:r>
    </w:p>
    <w:p/>
    <w:p>
      <w:pPr>
        <w:jc w:val="center"/>
      </w:pPr>
      <w:r>
        <w:rPr>
          <w:color w:val="ff0000"/>
        </w:rPr>
        <w:t xml:space="preserve">وإن لنا بالشام لو نستطيعه</w:t>
      </w:r>
      <w:r>
        <w:rPr>
          <w:color w:val="ff0000"/>
        </w:rPr>
        <w:t xml:space="preserve">      </w:t>
      </w:r>
      <w:r>
        <w:rPr>
          <w:color w:val="ff0000"/>
        </w:rPr>
        <w:t xml:space="preserve">خليلا لنا يا تيحان مصافيا</w:t>
      </w:r>
    </w:p>
    <w:p/>
    <w:p>
      <w:pPr>
        <w:jc w:val="center"/>
      </w:pPr>
      <w:r>
        <w:rPr>
          <w:color w:val="ff0000"/>
        </w:rPr>
        <w:t xml:space="preserve">نعد له الأيام من حب ذكره</w:t>
      </w:r>
      <w:r>
        <w:rPr>
          <w:color w:val="ff0000"/>
        </w:rPr>
        <w:t xml:space="preserve">      </w:t>
      </w:r>
      <w:r>
        <w:rPr>
          <w:color w:val="ff0000"/>
        </w:rPr>
        <w:t xml:space="preserve">ونحصي له يا تيحان اللياليا</w:t>
      </w:r>
    </w:p>
    <w:p/>
    <w:p>
      <w:pPr>
        <w:jc w:val="center"/>
      </w:pPr>
      <w:r>
        <w:rPr>
          <w:color w:val="ff0000"/>
        </w:rPr>
        <w:t xml:space="preserve">فليت المطايا قد رفعنك مصعدا</w:t>
      </w:r>
      <w:r>
        <w:rPr>
          <w:color w:val="ff0000"/>
        </w:rPr>
        <w:t xml:space="preserve">      </w:t>
      </w:r>
      <w:r>
        <w:rPr>
          <w:color w:val="ff0000"/>
        </w:rPr>
        <w:t xml:space="preserve">تجوب بأيديها الحزون الفيافيا</w:t>
      </w:r>
    </w:p>
    <w:p/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شاعرات العرب في الجاهلية والإسلام،(المكتبة الأهلية - بيروت،1934،ط 1،ج 1،ص 75)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2026-09-12T02:13:37+03:00</dcterms:created>
  <dcterms:modified xsi:type="dcterms:W3CDTF">2026-09-12T02:13:37+03:00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