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عبد الجبار
</w:t>
      </w:r>
    </w:p>
    <w:p>
      <w:pPr/>
      <w:r>
        <w:rPr/>
        <w:t xml:space="preserve">محمود بن عبد الجبار ومحمود بن عبد الجبار.</w:t>
      </w:r>
    </w:p>
    <w:p/>
    <w:p>
      <w:pPr/>
      <w:r>
        <w:rPr/>
        <w:t xml:space="preserve">له ’’فتاوي’’.</w:t>
      </w:r>
    </w:p>
    <w:p/>
    <w:p>
      <w:pPr/>
      <w:r>
        <w:rPr/>
        <w:t xml:space="preserve">وكان رفيقا لمحمود التاجري.</w:t>
      </w:r>
    </w:p>
    <w:p/>
    <w:p>
      <w:pPr/>
      <w:r>
        <w:rPr/>
        <w:t xml:space="preserve">ذكره عبد القادر في الجواهر بهذا، ولم يزد.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2026-10-15T22:25:07+03:00</dcterms:created>
  <dcterms:modified xsi:type="dcterms:W3CDTF">2026-10-15T22:25:07+03:00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