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يعقوب القحطاني
</w:t>
      </w:r>
    </w:p>
    <w:p>
      <w:pPr>
        <w:jc w:val="start"/>
        <w:bidi/>
      </w:pPr>
      <w:r>
        <w:rPr>
          <w:rFonts w:ascii="arial" w:hAnsi="arial" w:eastAsia="arial" w:cs="arial"/>
          <w:sz w:val="28"/>
          <w:szCs w:val="28"/>
          <w:b w:val="1"/>
          <w:bCs w:val="1"/>
          <w:rtl/>
        </w:rPr>
        <w:t xml:space="preserve">محمد بن محمد بن يعقوب القحطاني
</w:t>
      </w:r>
    </w:p>
    <w:p>
      <w:pPr/>
      <w:r>
        <w:rPr/>
        <w:t xml:space="preserve">محمد بن محمد بن يعقوب القحطاني روى عن سهل بن صالح الأنطاكي ثنا يحيى بن سعيد القطان عن عبيد الله بن عمر عن نافع عن ابن عمر من صلى وحده ثم أدرك الجماعة أعاد إلا الفجر والمغرب</w:t>
      </w:r>
    </w:p>
    <w:p/>
    <w:p>
      <w:pPr/>
      <w:r>
        <w:rPr/>
        <w:t xml:space="preserve">روى عنه محمد بن عمر بن أيوب الرملي</w:t>
      </w:r>
    </w:p>
    <w:p/>
    <w:p>
      <w:pPr/>
      <w:r>
        <w:rPr/>
        <w:t xml:space="preserve">قال ابن القطان هو وشيخه لا أعرف حالهما والحديث في العلل للدارقطني</w:t>
      </w:r>
    </w:p>
    <w:p>
      <w:pPr>
        <w:jc w:val="start"/>
        <w:bidi/>
      </w:pPr>
      <w:r>
        <w:rPr>
          <w:sz w:val="24"/>
          <w:szCs w:val="24"/>
          <w:b w:val="1"/>
          <w:bCs w:val="1"/>
          <w:rtl/>
        </w:rPr>
        <w:t xml:space="preserve">
ذيل على ميزان الاعتدال،(دار الكتب العلمية - بيروت،1995،ط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2026-07-29T04:14:18+03:00</dcterms:created>
  <dcterms:modified xsi:type="dcterms:W3CDTF">2026-07-29T04:14:18+03:00</dcterms:modified>
</cp:coreProperties>
</file>

<file path=docProps/custom.xml><?xml version="1.0" encoding="utf-8"?>
<Properties xmlns="http://schemas.openxmlformats.org/officeDocument/2006/custom-properties" xmlns:vt="http://schemas.openxmlformats.org/officeDocument/2006/docPropsVTypes"/>
</file>