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بقطر
</w:t>
      </w:r>
    </w:p>
    <w:p>
      <w:pPr>
        <w:jc w:val="start"/>
        <w:bidi/>
      </w:pPr>
      <w:r>
        <w:rPr>
          <w:rFonts w:ascii="arial" w:hAnsi="arial" w:eastAsia="arial" w:cs="arial"/>
          <w:sz w:val="28"/>
          <w:szCs w:val="28"/>
          <w:b w:val="1"/>
          <w:bCs w:val="1"/>
          <w:rtl/>
        </w:rPr>
        <w:t xml:space="preserve">بقطر
</w:t>
      </w:r>
    </w:p>
    <w:p>
      <w:pPr/>
      <w:r>
        <w:rPr/>
        <w:t xml:space="preserve">بقطر  أمير بقطر، الدكترو في الفلسفة: من علماء التربية بمصر. قبطي. ولد بأسيوط وتعلم بها وتخرج بجامعة كولومبيا بنيويورك (1924) وعين رئيسا لكلية التربية بالجامعة الأميركية بالقاهرة (1932) وعميدا لها عام (52) وأصدر (مجلة التربية الحديثة) بالقاهرة سنة 1927 إلى وفاته. </w:t>
      </w:r>
    </w:p>
    <w:p/>
    <w:p>
      <w:pPr/>
      <w:r>
        <w:rPr/>
        <w:t xml:space="preserve">من كتبه المطبوعة (فن الزواج) و (الدنيا في أميركا) و (كيف تتعلم لتعيش) و (آراء حديثة في التعليم) وله مقالات كثيرة في المجلات العلمية بمصر ولا سيما (الهلال) بين سنتي 1930 و 1960 وتوفي مصطافا في النمسا ودفن في القاهرة. </w:t>
      </w:r>
    </w:p>
    <w:p>
      <w:pPr>
        <w:jc w:val="start"/>
        <w:bidi/>
      </w:pPr>
      <w:r>
        <w:rPr>
          <w:sz w:val="24"/>
          <w:szCs w:val="24"/>
          <w:b w:val="1"/>
          <w:bCs w:val="1"/>
          <w:rtl/>
        </w:rPr>
        <w:t xml:space="preserve">
الأعلام،(دار العلم للملايين - بيروت،2002،ط 15،ج 2،ص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2026-07-28T11:53:46+03:00</dcterms:created>
  <dcterms:modified xsi:type="dcterms:W3CDTF">2026-07-28T11:53:46+03:00</dcterms:modified>
</cp:coreProperties>
</file>

<file path=docProps/custom.xml><?xml version="1.0" encoding="utf-8"?>
<Properties xmlns="http://schemas.openxmlformats.org/officeDocument/2006/custom-properties" xmlns:vt="http://schemas.openxmlformats.org/officeDocument/2006/docPropsVTypes"/>
</file>