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ابن العديم
</w:t>
      </w:r>
    </w:p>
    <w:p>
      <w:pPr>
        <w:jc w:val="start"/>
        <w:bidi/>
      </w:pPr>
      <w:r>
        <w:rPr>
          <w:rFonts w:ascii="arial" w:hAnsi="arial" w:eastAsia="arial" w:cs="arial"/>
          <w:sz w:val="28"/>
          <w:szCs w:val="28"/>
          <w:b w:val="1"/>
          <w:bCs w:val="1"/>
          <w:rtl/>
        </w:rPr>
        <w:t xml:space="preserve">محمد بن عمر، ابن العديم
</w:t>
      </w:r>
    </w:p>
    <w:p>
      <w:pPr/>
      <w:r>
        <w:rPr/>
        <w:t xml:space="preserve">محمد بن عمر، ابن العديم ومحمد بن عمر بن أحمد بن هبة الله، جمال الدين، أبو غنائم، المعروف بـ’’ابن العديم’’ الحلبي العقيلي.</w:t>
      </w:r>
    </w:p>
    <w:p/>
    <w:p>
      <w:pPr/>
      <w:r>
        <w:rPr/>
        <w:t xml:space="preserve">مولده سنة خمس وثلاثين وستمائة.</w:t>
      </w:r>
    </w:p>
    <w:p/>
    <w:p>
      <w:pPr/>
      <w:r>
        <w:rPr/>
        <w:t xml:space="preserve">وكان عالما، بحرا، بارعا.</w:t>
      </w:r>
    </w:p>
    <w:p/>
    <w:p>
      <w:pPr/>
      <w:r>
        <w:rPr/>
        <w:t xml:space="preserve">له كتاب’’الرائض في علم الفرائض’’.</w:t>
      </w:r>
    </w:p>
    <w:p>
      <w:pPr>
        <w:jc w:val="start"/>
        <w:bidi/>
      </w:pPr>
      <w:r>
        <w:rPr>
          <w:sz w:val="24"/>
          <w:szCs w:val="24"/>
          <w:b w:val="1"/>
          <w:bCs w:val="1"/>
          <w:rtl/>
        </w:rPr>
        <w:t xml:space="preserve">
تاج التراجم في طبقات الحنفية،(دار القلم - دمشق،1992،ط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هبة الله بن أحمد بن يحيى بن أبي جرادة
</w:t>
      </w:r>
    </w:p>
    <w:p>
      <w:pPr/>
      <w:r>
        <w:rPr/>
        <w:t xml:space="preserve">الصاحب جمال الدين ابن العديم محمد بن عمر بن أحمد بن هبة الله بن أحمد بن يحيى بن أبي جرادة الصاحب العالم البارع جمال الدين أبو غانم ابن الصاحب كمال الدين ابن العديم العقبلي الحلبي الحنفي الكاتب حضر على الحافظ أبي عبد الله البرزالي وسمع من أبي رواحة وابن قميرة وابن خليل وجماعة بحلب، ورحل به والده قبل الخمسين مع الدمياطي إلى بغداذ وأسمعه من شيوخها وطلع من أذكياء العالم وتأدب وشارك في الفضائل وبرع في كتابة المنسوب، وسكن حماة وحدث بها، ومشى السلطان الملك المظفر ومن دونه في جنازته وهو والد القاضي نجم الدين عمر ودفن بتربته بعقبة نقيرين سنة خمس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2026-10-15T22:26:52+03:00</dcterms:created>
  <dcterms:modified xsi:type="dcterms:W3CDTF">2026-10-15T22:26:52+03:00</dcterms:modified>
</cp:coreProperties>
</file>

<file path=docProps/custom.xml><?xml version="1.0" encoding="utf-8"?>
<Properties xmlns="http://schemas.openxmlformats.org/officeDocument/2006/custom-properties" xmlns:vt="http://schemas.openxmlformats.org/officeDocument/2006/docPropsVTypes"/>
</file>