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حسن، أبو عبدالله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حسن، أبو عبدالله الفاسي
</w:t>
      </w:r>
    </w:p>
    <w:p>
      <w:pPr/>
      <w:r>
        <w:rPr/>
        <w:t xml:space="preserve">محمد بن حسن، أبو عبدالله الفاسي ومحمد بن حسن بن محمد بن يوسف، أبو عبدالله الفاسي، المغربي، المقرئ، العلامة، جمال الدين.</w:t>
      </w:r>
    </w:p>
    <w:p/>
    <w:p>
      <w:pPr/>
      <w:r>
        <w:rPr/>
        <w:t xml:space="preserve">نزيل حلب.</w:t>
      </w:r>
    </w:p>
    <w:p/>
    <w:p>
      <w:pPr/>
      <w:r>
        <w:rPr/>
        <w:t xml:space="preserve">ولد بفاس بعد الثمانين وخمسمائة.</w:t>
      </w:r>
    </w:p>
    <w:p/>
    <w:p>
      <w:pPr/>
      <w:r>
        <w:rPr/>
        <w:t xml:space="preserve">وقدم ديار مصر، فقرأ بها القراءات، وتفقه بحلب على مذهب أبي حنيفة.</w:t>
      </w:r>
    </w:p>
    <w:p/>
    <w:p>
      <w:pPr/>
      <w:r>
        <w:rPr/>
        <w:t xml:space="preserve">وكان بصيرا بالقراءات ووجوهها وعللها، حاذقا بالعربية، عارفا باللغة، مليح الخط إلى الغاية على طريق المغاربة، كثير الفرائض.</w:t>
      </w:r>
    </w:p>
    <w:p/>
    <w:p>
      <w:pPr/>
      <w:r>
        <w:rPr/>
        <w:t xml:space="preserve">شرح ’’حرز الأماني’’ شرحا في غاية الجودة.</w:t>
      </w:r>
    </w:p>
    <w:p/>
    <w:p>
      <w:pPr/>
      <w:r>
        <w:rPr/>
        <w:t xml:space="preserve">توفي سنة ست وخمسين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2026-10-15T21:22:57+03:00</dcterms:created>
  <dcterms:modified xsi:type="dcterms:W3CDTF">2026-10-15T21:22:57+03:00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