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المارديني
</w:t>
      </w:r>
    </w:p>
    <w:p>
      <w:pPr/>
      <w:r>
        <w:rPr/>
        <w:t xml:space="preserve">محمد بن أحمد المارديني ومحمد بن أحمد بن أبي بكر، الشيخ، شمس الدين التركماني.</w:t>
      </w:r>
    </w:p>
    <w:p/>
    <w:p>
      <w:pPr/>
      <w:r>
        <w:rPr/>
        <w:t xml:space="preserve">تفقه على ابن السراج، وعلاء الدين القونوي.</w:t>
      </w:r>
    </w:p>
    <w:p/>
    <w:p>
      <w:pPr/>
      <w:r>
        <w:rPr/>
        <w:t xml:space="preserve">وأفتى، ودرس، وشرح ’’المغني’’ للخبازي في مجلدين، وسماه ’’الكاشف المدني في شرح المغني’’. وله كتاب ’’الوتر’’ مجلد، وكتاب ’’المناسك’’. واختصر تاريخ ابن خلكان وسماه ’’الجنان’’.</w:t>
      </w:r>
    </w:p>
    <w:p/>
    <w:p>
      <w:pPr/>
      <w:r>
        <w:rPr/>
        <w:t xml:space="preserve">وقتل بأطرابلس في سنة نيف وخمسين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2026-10-15T21:19:53+03:00</dcterms:created>
  <dcterms:modified xsi:type="dcterms:W3CDTF">2026-10-15T21:19:53+03:00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