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القباوي
</w:t>
      </w:r>
    </w:p>
    <w:p>
      <w:pPr/>
      <w:r>
        <w:rPr/>
        <w:t xml:space="preserve">محمد بن محمد القباوي محمد بن محمد بن محمد.</w:t>
      </w:r>
    </w:p>
    <w:p/>
    <w:p>
      <w:pPr/>
      <w:r>
        <w:rPr/>
        <w:t xml:space="preserve">نزيل مرغينان.</w:t>
      </w:r>
    </w:p>
    <w:p/>
    <w:p>
      <w:pPr/>
      <w:r>
        <w:rPr/>
        <w:t xml:space="preserve">له ’’الجامع الكبير’’ ونظم ’’الجامع الصغير’’.</w:t>
      </w:r>
    </w:p>
    <w:p/>
    <w:p>
      <w:pPr/>
      <w:r>
        <w:rPr/>
        <w:t xml:space="preserve">وبرع في الخلاف وعلم الجدل.</w:t>
      </w:r>
    </w:p>
    <w:p/>
    <w:p>
      <w:pPr/>
      <w:r>
        <w:rPr/>
        <w:t xml:space="preserve">مات بعد سنة وست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2026-10-15T21:18:50+03:00</dcterms:created>
  <dcterms:modified xsi:type="dcterms:W3CDTF">2026-10-15T21:18:50+03:00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