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رقية بنت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رقية بنت عمر
</w:t>
      </w:r>
    </w:p>
    <w:p>
      <w:pPr/>
      <w:r>
        <w:rPr/>
        <w:t xml:space="preserve">رقية بنت عمر [س] أو عمرو.</w:t>
      </w:r>
    </w:p>
    <w:p/>
    <w:p>
      <w:pPr/>
      <w:r>
        <w:rPr/>
        <w:t xml:space="preserve">وكانت في حجر ابن عمر.</w:t>
      </w:r>
    </w:p>
    <w:p/>
    <w:p>
      <w:pPr/>
      <w:r>
        <w:rPr/>
        <w:t xml:space="preserve">تفرد عنها عبيد الله بن عمر السعيدى.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رقية بنت عمر بن سعيد
</w:t>
      </w:r>
    </w:p>
    <w:p>
      <w:pPr/>
      <w:r>
        <w:rPr/>
        <w:t xml:space="preserve">رقية بنت عمر بن سعيد </w:t>
      </w:r>
    </w:p>
    <w:p/>
    <w:p>
      <w:pPr/>
      <w:r>
        <w:rPr/>
        <w:t xml:space="preserve">عن ابن عمر وعنها عبيد الله بن عمر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2026-07-29T10:53:50+03:00</dcterms:created>
  <dcterms:modified xsi:type="dcterms:W3CDTF">2026-07-29T10:53:50+03:00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