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بهيسة الفزارية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بهيسة الفزارية
</w:t>
      </w:r>
    </w:p>
    <w:p>
      <w:pPr/>
      <w:r>
        <w:rPr/>
        <w:t xml:space="preserve">بهيسة الفزارية [د، س] .</w:t>
      </w:r>
    </w:p>
    <w:p/>
    <w:p>
      <w:pPr/>
      <w:r>
        <w:rPr/>
        <w:t xml:space="preserve">عن أبيها.</w:t>
      </w:r>
    </w:p>
    <w:p/>
    <w:p>
      <w:pPr/>
      <w:r>
        <w:rPr/>
        <w:t xml:space="preserve">تفرد عنها أبوسيار بن منظور الفزاري.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بهيسة الفزارية
</w:t>
      </w:r>
    </w:p>
    <w:p>
      <w:pPr/>
      <w:r>
        <w:rPr/>
        <w:t xml:space="preserve">بهيسة الفزارية </w:t>
      </w:r>
    </w:p>
    <w:p/>
    <w:p>
      <w:pPr/>
      <w:r>
        <w:rPr/>
        <w:t xml:space="preserve">عن أبيها وعنها سيار بن منظور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2026-07-28T17:30:56+03:00</dcterms:created>
  <dcterms:modified xsi:type="dcterms:W3CDTF">2026-07-28T17:30:56+03:00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