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العقيلي
</w:t>
      </w:r>
    </w:p>
    <w:p>
      <w:pPr/>
      <w:r>
        <w:rPr/>
        <w:t xml:space="preserve">عمر بن محمد العقيلي وعمر بن محمد بن عمر بن محمد بن أحمد، العقيلي، جلال الدين، الأنصاري.</w:t>
      </w:r>
    </w:p>
    <w:p/>
    <w:p>
      <w:pPr/>
      <w:r>
        <w:rPr/>
        <w:t xml:space="preserve">قال الذهبي: كان من كبار فقهاء بخارى وعلمائها.</w:t>
      </w:r>
    </w:p>
    <w:p/>
    <w:p>
      <w:pPr/>
      <w:r>
        <w:rPr/>
        <w:t xml:space="preserve">قدم بغداد حاجا سنة ثمان وثلاثين وخمسمائة، وحج، ثم رجع.</w:t>
      </w:r>
    </w:p>
    <w:p/>
    <w:p>
      <w:pPr/>
      <w:r>
        <w:rPr/>
        <w:t xml:space="preserve">وحدث عن الصدر الشهيد حسام الدين.</w:t>
      </w:r>
    </w:p>
    <w:p/>
    <w:p>
      <w:pPr/>
      <w:r>
        <w:rPr/>
        <w:t xml:space="preserve">روى عن الفراوي.</w:t>
      </w:r>
    </w:p>
    <w:p/>
    <w:p>
      <w:pPr/>
      <w:r>
        <w:rPr/>
        <w:t xml:space="preserve">ومات ببخارى وقت صلاة الفجر من يوم الثلاثاء، الخامس من جمادى الأولى، سنة ست وسبعين وخمسمائة.</w:t>
      </w:r>
    </w:p>
    <w:p/>
    <w:p>
      <w:pPr/>
      <w:r>
        <w:rPr/>
        <w:t xml:space="preserve">وله كتاب’’ المنهاج’’في الفقه، مجلد ضخم.</w:t>
      </w:r>
    </w:p>
    <w:p/>
    <w:p>
      <w:pPr/>
      <w:r>
        <w:rPr/>
        <w:t xml:space="preserve">وممن لم يسم في هذا الحرف: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2026-10-15T20:21:45+03:00</dcterms:created>
  <dcterms:modified xsi:type="dcterms:W3CDTF">2026-10-15T20:21:45+03:00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