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إسحاق الغزنوي
</w:t>
      </w:r>
    </w:p>
    <w:p>
      <w:pPr>
        <w:jc w:val="start"/>
        <w:bidi/>
      </w:pPr>
      <w:r>
        <w:rPr>
          <w:rFonts w:ascii="arial" w:hAnsi="arial" w:eastAsia="arial" w:cs="arial"/>
          <w:sz w:val="28"/>
          <w:szCs w:val="28"/>
          <w:b w:val="1"/>
          <w:bCs w:val="1"/>
          <w:rtl/>
        </w:rPr>
        <w:t xml:space="preserve">عمر بن إسحاق الغزنوي
</w:t>
      </w:r>
    </w:p>
    <w:p>
      <w:pPr/>
      <w:r>
        <w:rPr/>
        <w:t xml:space="preserve">عمر بن إسحاق الغزنوي وعمر بن إسحاق بن أحمد الغزنوي، قاضي القضاة، سراج الدين، أبو حفص الهندي.</w:t>
      </w:r>
    </w:p>
    <w:p/>
    <w:p>
      <w:pPr/>
      <w:r>
        <w:rPr/>
        <w:t xml:space="preserve">تفقه على الإمام وجيه الدين الرازي، وعلى ركن الدين البداوي، وسراج الدين الثقفي.</w:t>
      </w:r>
    </w:p>
    <w:p/>
    <w:p>
      <w:pPr/>
      <w:r>
        <w:rPr/>
        <w:t xml:space="preserve">وسمع الحديث على أحمد بن منصور الجوهري، وغيره.</w:t>
      </w:r>
    </w:p>
    <w:p/>
    <w:p>
      <w:pPr/>
      <w:r>
        <w:rPr/>
        <w:t xml:space="preserve">وسمع بمكة على حصر شيخ رباط السدرة.</w:t>
      </w:r>
    </w:p>
    <w:p/>
    <w:p>
      <w:pPr/>
      <w:r>
        <w:rPr/>
        <w:t xml:space="preserve">وأفتى واشتغل.</w:t>
      </w:r>
    </w:p>
    <w:p/>
    <w:p>
      <w:pPr/>
      <w:r>
        <w:rPr/>
        <w:t xml:space="preserve">وصنف شرح الهداية المسمى بـ’’التوشيح’’ و’’الشامل’’ في الفقه فروع مجردة، وكتاب ’’زبدة الأحكام في اختلاف الأئمة الأعلام’’ و’’شرح الهداية’’ على طريقة الجدل، في ستة أجزاء كبار، وشرح ’’البديع’’ في أربع مجلدات،</w:t>
      </w:r>
    </w:p>
    <w:p/>
    <w:p>
      <w:pPr/>
      <w:r>
        <w:rPr/>
        <w:t xml:space="preserve">وشرح ’’المغن’’ي للخبازي في مجلدين، وله ’’كتاب الغرة المنيفة في ترجيح مذهب أبي حنيفة’’ وكتاب في فقه الخلافات، وشرح ’’الزيادات’’ و’’الجامعين’’ ولم يكملهن، وشرح ’’تائية ابن الفارض’’. وله كتاب في التصوف، وغير ذلك.</w:t>
      </w:r>
    </w:p>
    <w:p/>
    <w:p>
      <w:pPr/>
      <w:r>
        <w:rPr/>
        <w:t xml:space="preserve">توفي سنة ثلاث وسبعين وسبعمائة.</w:t>
      </w:r>
    </w:p>
    <w:p>
      <w:pPr>
        <w:jc w:val="start"/>
        <w:bidi/>
      </w:pPr>
      <w:r>
        <w:rPr>
          <w:sz w:val="24"/>
          <w:szCs w:val="24"/>
          <w:b w:val="1"/>
          <w:bCs w:val="1"/>
          <w:rtl/>
        </w:rPr>
        <w:t xml:space="preserve">
تاج التراجم في طبقات الحنفية،(دار القلم - دمشق،1992،ط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إسحاق بن أحمد الغزنوي
</w:t>
      </w:r>
    </w:p>
    <w:p>
      <w:pPr/>
      <w:r>
        <w:rPr/>
        <w:t xml:space="preserve">عمر بن إسحاق بن أحمد الغزنوي عمر بن إسحاق بن أحمد الغزنوي العلامة الحنفي القاضي سراج الدين الهندي كان عارفا بالأصلين والمنطق والتصوف والحكم وكان قدومه إلى القاهرة قبل الأربعين وهو متأهل للعلم فتميز بها وسمع من بعض أصحاب النجيب سمع منه الصدر الياسوفي وغيره وكان مستحضرا لفروع مذهبه تخرج بالشمس الاصبهانى وابن التركماني وصنف التصانيف المبسوطة وشرح المغني في أصول الفقه والبديع لابن الساعاتي والهداية وهو مطول لم يكمل وكان دمش الأخلاق طلق العبارة ولي قضاء العسكر وناب في القضاء عن جمال الدين ابن التركماني مدة طويلة ثم عزله لما وقع ينه وبين هرماس ثم ولي القضاء استقلالا في شعبان سنة 69 بعد موت ابن التركماني وكان شهما مقداما فصيحا له حظوة عند الأمراء ولما ولي قدم الشاميين على المصريين في النيابة وكان قد تكلم مع أهل الدولة واستنجز توقيعا أن يلبس الطرحة نظير القاضي الشافعى وأن يستنيب في البلاد المصرية ويجعل له مودعا لأيتام الحنفية فحصل له مرض فاعتل واشتغل بنفسه وعد ذلك من بركة الإمام الشافعي رضي الله عنه وقرأت بخط القاضي تقي الدين الزبيري لما أمسك الناصر حسن انحطت رتبة الهندي عند يلبغا إلى أن قتل يلبغا فصحب منكلى بغا الشمسى وأمير علي المارديني واسنبغا البوبكري والجاي اليوسفي وأرغون شاه وغيرهم فقرره في قضاء الحنفية بعد جمال الدين التركماني وعمر حينئذ داره التي برحبة العيد وأضيف له تدريس التفسير بالجامع الطولوني لما مات البسطامي سنة 771 وتكلم في أوقاف الشافعية تجاه الجاي اليوسفي لما استقر ناظرا عليها وتكلم أيضا في نظر جامع ابن طولون واستعاد وقف الطرحي من نقيب الأشراف بمساعدة الجاي لأن نظره بشرط الواقف للحنفي ومع ذلك فإنه قام على الجاي قياما عظيما لما كشف وقف الأشرفية وقد ذكرت ذلك في ترجمته قضاة مصر ومات في سابع شهر رجب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إسحاق بن أحمد الغزنوي سراج الدين الهندي كان قاضيا للحنفية بمصر
</w:t>
      </w:r>
    </w:p>
    <w:p>
      <w:pPr/>
      <w:r>
        <w:rPr/>
        <w:t xml:space="preserve">عمر بن إسحاق بن أحمد الغزنوي سراج الدين الهندي كان قاضيا للحنفية بمصر تفقه بالهند على الوجيه الرازي والسراج الثقفي والركن البدايوني</w:t>
      </w:r>
    </w:p>
    <w:p/>
    <w:p>
      <w:pPr/>
      <w:r>
        <w:rPr/>
        <w:t xml:space="preserve">مولده سنة أربع وسبعمائة</w:t>
      </w:r>
    </w:p>
    <w:p/>
    <w:p>
      <w:pPr/>
      <w:r>
        <w:rPr/>
        <w:t xml:space="preserve">ومن مؤلفاته تفسير القرآن العظيم وشرح المغني وشرح الهداية وشرح الكافية في النحو</w:t>
      </w:r>
    </w:p>
    <w:p/>
    <w:p>
      <w:pPr/>
      <w:r>
        <w:rPr/>
        <w:t xml:space="preserve">وكانت وفاته في شهر رجب سنة ثلاث وسبعين وسبعمائة</w:t>
      </w:r>
    </w:p>
    <w:p>
      <w:pPr>
        <w:jc w:val="start"/>
        <w:bidi/>
      </w:pPr>
      <w:r>
        <w:rPr>
          <w:sz w:val="24"/>
          <w:szCs w:val="24"/>
          <w:b w:val="1"/>
          <w:bCs w:val="1"/>
          <w:rtl/>
        </w:rPr>
        <w:t xml:space="preserve">
طبقات المفسرين للأدنه وي،(مكتبة العلوم والحكم - المدينة المنورة،1997،ط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إسحاق بن أحمد الغزنوي العلامة الحنفي سراج الدين الهندي صاحب التصانيف
</w:t>
      </w:r>
    </w:p>
    <w:p>
      <w:pPr/>
      <w:r>
        <w:rPr/>
        <w:t xml:space="preserve">عمر بن إسحاق بن أحمد الغزنوي العلامة الحنفي سراج الدين الهندي صاحب التصانيف </w:t>
      </w:r>
    </w:p>
    <w:p/>
    <w:p>
      <w:pPr/>
      <w:r>
        <w:rPr/>
        <w:t xml:space="preserve">قدم القاهرة قبل الأربعين وسبعمائة وسمع من بعض أصحاب النجيب وكان علامة في الأصول والمنطق والفروع تخرج في ذلك بالشمس الأصبهاني وابن التركماني ومن مصنفاته شرح المغني وأصول الفقه وشرح البديع لابن الساعاتي وشرح الهداية وهو مطول لم يكمل وكان دمث الأخلاق طلق العبارة ولي قضاء العسكر ثم ولى القضاء استقلالا في شعبان سنة 769 ومات رابع شهر رجب سنة 773 ثلاث وسبعين وسبعمائة</w:t>
      </w:r>
    </w:p>
    <w:p>
      <w:pPr>
        <w:jc w:val="start"/>
        <w:bidi/>
      </w:pPr>
      <w:r>
        <w:rPr>
          <w:sz w:val="24"/>
          <w:szCs w:val="24"/>
          <w:b w:val="1"/>
          <w:bCs w:val="1"/>
          <w:rtl/>
        </w:rPr>
        <w:t xml:space="preserve">
البدر الطالع بمحاسن من بعد القرن السابع،(دار المعرفة - بيروت،0،ط 1،ج 1،ص 505)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2026-10-15T20:22:06+03:00</dcterms:created>
  <dcterms:modified xsi:type="dcterms:W3CDTF">2026-10-15T20:22:06+03:00</dcterms:modified>
</cp:coreProperties>
</file>

<file path=docProps/custom.xml><?xml version="1.0" encoding="utf-8"?>
<Properties xmlns="http://schemas.openxmlformats.org/officeDocument/2006/custom-properties" xmlns:vt="http://schemas.openxmlformats.org/officeDocument/2006/docPropsVTypes"/>
</file>