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الخبازي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الخبازي
</w:t>
      </w:r>
    </w:p>
    <w:p>
      <w:pPr/>
      <w:r>
        <w:rPr/>
        <w:t xml:space="preserve">عمر بن محمد الخبازي عمر بن محمد بن عمر، الشيخ، جلال الدين الخبازي.</w:t>
      </w:r>
    </w:p>
    <w:p/>
    <w:p>
      <w:pPr/>
      <w:r>
        <w:rPr/>
        <w:t xml:space="preserve">له حواشي على ’’الهداية’’ وكتاب ’’المغنى’’ في أصول الفقه.</w:t>
      </w:r>
    </w:p>
    <w:p/>
    <w:p>
      <w:pPr/>
      <w:r>
        <w:rPr/>
        <w:t xml:space="preserve">وكان فقيها عابدا ومات لخمس بقين من ذي الحجة، سنة إحدى وتسعين وستمائة، في عشر السبعين.</w:t>
      </w:r>
    </w:p>
    <w:p/>
    <w:p>
      <w:pPr/>
      <w:r>
        <w:rPr/>
        <w:t xml:space="preserve">قلت: قال الذهبي: قال أبو العلاء الفرضي: صنف الخبازي في الفقه، والأصلين.</w:t>
      </w:r>
    </w:p>
    <w:p/>
    <w:p>
      <w:pPr/>
      <w:r>
        <w:rPr/>
        <w:t xml:space="preserve">ومات عن اثنتين وستين سنة.</w:t>
      </w:r>
    </w:p>
    <w:p/>
    <w:p>
      <w:pPr/>
      <w:r>
        <w:rPr/>
        <w:t xml:space="preserve">وقال في المسالك: وله مصنف في أصول الدين. انتهى.</w:t>
      </w:r>
    </w:p>
    <w:p/>
    <w:p>
      <w:pPr/>
      <w:r>
        <w:rPr/>
        <w:t xml:space="preserve">وممن تسمى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2026-10-15T20:21:46+03:00</dcterms:created>
  <dcterms:modified xsi:type="dcterms:W3CDTF">2026-10-15T20:21:46+03:00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