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أحمدالبخاري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أحمدالبخاري
</w:t>
      </w:r>
    </w:p>
    <w:p>
      <w:pPr/>
      <w:r>
        <w:rPr/>
        <w:t xml:space="preserve">عبد العزيز بن أحمدالبخاري عبد العزيز بن أحمد بن محمد البخاري.</w:t>
      </w:r>
    </w:p>
    <w:p/>
    <w:p>
      <w:pPr/>
      <w:r>
        <w:rPr/>
        <w:t xml:space="preserve">له شرح البزدوي، وشرح الاخسيكثي وشرح الهداية إلى النكاح، ومات.</w:t>
      </w:r>
    </w:p>
    <w:p/>
    <w:p>
      <w:pPr/>
      <w:r>
        <w:rPr/>
        <w:t xml:space="preserve">قلت: تفقه على الإمام محمد المايمرغي.</w:t>
      </w:r>
    </w:p>
    <w:p/>
    <w:p>
      <w:pPr/>
      <w:r>
        <w:rPr/>
        <w:t xml:space="preserve">وكان وضعه لشرح الهداية المذكور بسؤال القوام الكاكي.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2026-10-15T19:35:41+03:00</dcterms:created>
  <dcterms:modified xsi:type="dcterms:W3CDTF">2026-10-15T19:35:41+03:00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