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السبذموني، الأستاذ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السبذموني، الأستاذ
</w:t>
      </w:r>
    </w:p>
    <w:p>
      <w:pPr/>
      <w:r>
        <w:rPr/>
        <w:t xml:space="preserve">عبد الله بن محمد السبذموني، الأستاذ عبد الله بن محمد بن يعقوب بن الحارث بن الخليل البخاري، الحارثي، السبذموني.</w:t>
      </w:r>
    </w:p>
    <w:p/>
    <w:p>
      <w:pPr/>
      <w:r>
        <w:rPr/>
        <w:t xml:space="preserve">رحل وروى عن الفضل بن محمد الشعراني. وعنه ابن منده.</w:t>
      </w:r>
    </w:p>
    <w:p/>
    <w:p>
      <w:pPr/>
      <w:r>
        <w:rPr/>
        <w:t xml:space="preserve">وكان مكثرا.</w:t>
      </w:r>
    </w:p>
    <w:p/>
    <w:p>
      <w:pPr/>
      <w:r>
        <w:rPr/>
        <w:t xml:space="preserve">ولد في ربيع الآخر سنة ثمان وخمسين ومائتين.</w:t>
      </w:r>
    </w:p>
    <w:p/>
    <w:p>
      <w:pPr/>
      <w:r>
        <w:rPr/>
        <w:t xml:space="preserve">ومات في شوال سنة أربعين وثلاثمائة.</w:t>
      </w:r>
    </w:p>
    <w:p/>
    <w:p>
      <w:pPr/>
      <w:r>
        <w:rPr/>
        <w:t xml:space="preserve">قال ابن منده: غير ثقة، وله مناكير.</w:t>
      </w:r>
    </w:p>
    <w:p/>
    <w:p>
      <w:pPr/>
      <w:r>
        <w:rPr/>
        <w:t xml:space="preserve">صنف كتاب ’’كشف الأسرار’’في مناقب أبي حنيفة، وصنف ’’مسند أبي حنيفة’’.</w:t>
      </w:r>
    </w:p>
    <w:p/>
    <w:p>
      <w:pPr/>
      <w:r>
        <w:rPr/>
        <w:t xml:space="preserve">وقال ابن الجوزي: إن أبا سعيد بن الرواس قال: متهم بوضع الحديث. قلت: قال الذهبي في ’’تاريخ الإسلام’’: كان ابن منده حسن الرأي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2026-10-15T19:46:19+03:00</dcterms:created>
  <dcterms:modified xsi:type="dcterms:W3CDTF">2026-10-15T19:46:19+03:00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