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محمد الأودني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محمد الأودني
</w:t>
      </w:r>
    </w:p>
    <w:p>
      <w:pPr/>
      <w:r>
        <w:rPr/>
        <w:t xml:space="preserve">داود بن محمد الأودني داود بن محمد بن موسى بن هارون الأودني-بضم الهمزة-.</w:t>
      </w:r>
    </w:p>
    <w:p/>
    <w:p>
      <w:pPr/>
      <w:r>
        <w:rPr/>
        <w:t xml:space="preserve">له كتب، منها: كتاب ’’ذكر الصالحي’’ن وكتاب ’’أحداث الزمان’’ وكتاب ’’فضائل القرآن’’</w:t>
      </w:r>
    </w:p>
    <w:p/>
    <w:p>
      <w:pPr/>
      <w:r>
        <w:rPr/>
        <w:t xml:space="preserve">ذكره عبد القادر.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2026-10-15T19:31:30+03:00</dcterms:created>
  <dcterms:modified xsi:type="dcterms:W3CDTF">2026-10-15T19:31:30+03:00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