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عمر الفرغاني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عمر الفرغاني
</w:t>
      </w:r>
    </w:p>
    <w:p>
      <w:pPr/>
      <w:r>
        <w:rPr/>
        <w:t xml:space="preserve">حبيب بن عمر الفرغاني حبيب بن عمر الفرغاني.</w:t>
      </w:r>
    </w:p>
    <w:p/>
    <w:p>
      <w:pPr/>
      <w:r>
        <w:rPr/>
        <w:t xml:space="preserve">له كتاب ’’الموجز’’ في الفقه. ذكره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عمر الفرغاني
</w:t>
      </w:r>
    </w:p>
    <w:p>
      <w:pPr/>
      <w:r>
        <w:rPr/>
        <w:t xml:space="preserve">حبيب بن عمر الفرغاني صاحب ’’ الموجز ’’ في الفقه.</w:t>
      </w:r>
    </w:p>
    <w:p/>
    <w:p>
      <w:pPr/>
      <w:r>
        <w:rPr/>
        <w:t xml:space="preserve">ذكره العقيلي، في كتاب ’’ المناهج ’’ الذي ألفه في الفقه، وذكر أنه صنفه وهذبه لما رأى ’’ الموجز ’’ لحبيب هذا، ورأى ’’ مختصر الطحاوي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2026-10-15T18:38:59+03:00</dcterms:created>
  <dcterms:modified xsi:type="dcterms:W3CDTF">2026-10-15T18:38:59+03:00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