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ابن منصور
</w:t>
      </w:r>
    </w:p>
    <w:p>
      <w:pPr>
        <w:jc w:val="start"/>
        <w:bidi/>
      </w:pPr>
      <w:r>
        <w:rPr>
          <w:rFonts w:ascii="arial" w:hAnsi="arial" w:eastAsia="arial" w:cs="arial"/>
          <w:sz w:val="28"/>
          <w:szCs w:val="28"/>
          <w:b w:val="1"/>
          <w:bCs w:val="1"/>
          <w:rtl/>
        </w:rPr>
        <w:t xml:space="preserve">أحمد بن علي، ابن منصور
</w:t>
      </w:r>
    </w:p>
    <w:p>
      <w:pPr/>
      <w:r>
        <w:rPr/>
        <w:t xml:space="preserve">أحمد بن علي، ابن منصور وأحمد بن علي بن منصور، شرف الدين، أبو العباس، الدمشقي.</w:t>
      </w:r>
    </w:p>
    <w:p/>
    <w:p>
      <w:pPr/>
      <w:r>
        <w:rPr/>
        <w:t xml:space="preserve">ولي القضاء بالديار المصرية عن صدر الدين ابن أبي العز.</w:t>
      </w:r>
    </w:p>
    <w:p/>
    <w:p>
      <w:pPr/>
      <w:r>
        <w:rPr/>
        <w:t xml:space="preserve">وسمع الحديث وحدث.</w:t>
      </w:r>
    </w:p>
    <w:p/>
    <w:p>
      <w:pPr/>
      <w:r>
        <w:rPr/>
        <w:t xml:space="preserve">وسمع منه صدر الدين الياسوفي، وشهاب الدين الحسباني، وغيرهما. اختصر’’المختار’’ في الفقه وسماه ’’التحرير’’ وعلق عليه شرحا ولم يكمله. وله ’’عقيدة’’ في أصول الدين وغير ذلك.</w:t>
      </w:r>
    </w:p>
    <w:p/>
    <w:p>
      <w:pPr/>
      <w:r>
        <w:rPr/>
        <w:t xml:space="preserve">توفي ليلة الإثنين العشرين من شهر شعبان المعظم سنة اثنتين وثمانين وسبعمائة بدمشق.</w:t>
      </w:r>
    </w:p>
    <w:p>
      <w:pPr>
        <w:jc w:val="start"/>
        <w:bidi/>
      </w:pPr>
      <w:r>
        <w:rPr>
          <w:sz w:val="24"/>
          <w:szCs w:val="24"/>
          <w:b w:val="1"/>
          <w:bCs w:val="1"/>
          <w:rtl/>
        </w:rPr>
        <w:t xml:space="preserve">
تاج التراجم في طبقات الحنفية،(دار القلم - دمشق،1992،ط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منصور بن محمد بن محمد
</w:t>
      </w:r>
    </w:p>
    <w:p>
      <w:pPr/>
      <w:r>
        <w:rPr/>
        <w:t xml:space="preserve">أحمد بن علي بن منصور بن محمد بن محمد أحمد بن علي بن منصور بن محمد بن محمد بن أبي العز بن صالح بن أبي العز بن وهيب شرف الدين الحنفي التاجر الدمشقي المعروف سلفه بابن الكشك واشتهر هو بابن منصور ولد بدمشق سنة عشر أو قبلها وتفقه وسمع الحديث ومهر ودرس وأعاد واشتهر ثم استقر في قضاء الديار المصرية فباشره بعد سفر قرابته نجم الدين وذلك في رجب سنة 777 وصرف في رمضان منها ورجع إلى دمشق وكانت وفاته بدمشق يوم الاثنين العشرين من شعبان سنة 782 وهو أصغر سنا من أخيه صدر الدين وأفقه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2026-10-15T17:40:54+03:00</dcterms:created>
  <dcterms:modified xsi:type="dcterms:W3CDTF">2026-10-15T17:40:54+03:00</dcterms:modified>
</cp:coreProperties>
</file>

<file path=docProps/custom.xml><?xml version="1.0" encoding="utf-8"?>
<Properties xmlns="http://schemas.openxmlformats.org/officeDocument/2006/custom-properties" xmlns:vt="http://schemas.openxmlformats.org/officeDocument/2006/docPropsVTypes"/>
</file>