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عثمان، ابن التركماني
</w:t>
      </w:r>
    </w:p>
    <w:p>
      <w:pPr>
        <w:jc w:val="start"/>
        <w:bidi/>
      </w:pPr>
      <w:r>
        <w:rPr>
          <w:rFonts w:ascii="arial" w:hAnsi="arial" w:eastAsia="arial" w:cs="arial"/>
          <w:sz w:val="28"/>
          <w:szCs w:val="28"/>
          <w:b w:val="1"/>
          <w:bCs w:val="1"/>
          <w:rtl/>
        </w:rPr>
        <w:t xml:space="preserve">أحمد بن عثمان، ابن التركماني
</w:t>
      </w:r>
    </w:p>
    <w:p>
      <w:pPr/>
      <w:r>
        <w:rPr/>
        <w:t xml:space="preserve">أحمد بن عثمان، ابن التركماني وأحمد بن عثمان بن إبراهيم بن مصطفى بن سليمان، تاج الدين المارديني، المعروف بابن التركماني.</w:t>
      </w:r>
    </w:p>
    <w:p/>
    <w:p>
      <w:pPr/>
      <w:r>
        <w:rPr/>
        <w:t xml:space="preserve">قال الصفدي: كان إماما مجيدا وفقيها مفيدا.</w:t>
      </w:r>
    </w:p>
    <w:p/>
    <w:p>
      <w:pPr/>
      <w:r>
        <w:rPr/>
        <w:t xml:space="preserve">له تعليقة على ’’المحصل’’ وتعليقة على ’’المنتخب’’ في أصول الفقه وثلاث تعاليق على ’’خلاصة الدلائل في تنقيح المسائل’’:</w:t>
      </w:r>
    </w:p>
    <w:p/>
    <w:p>
      <w:pPr/>
      <w:r>
        <w:rPr/>
        <w:t xml:space="preserve">الأولى: في حل مشكلاته، وتبيين معضلاته وشرح ألفاظه وتفسير معانيه لحفاظه.</w:t>
      </w:r>
    </w:p>
    <w:p/>
    <w:p>
      <w:pPr/>
      <w:r>
        <w:rPr/>
        <w:t xml:space="preserve">والثانية: في ذكر ما أهمله من مسائل الهداية.</w:t>
      </w:r>
    </w:p>
    <w:p/>
    <w:p>
      <w:pPr/>
      <w:r>
        <w:rPr/>
        <w:t xml:space="preserve">والثالثة: في ذكر أحاديثه والكلام عليها.</w:t>
      </w:r>
    </w:p>
    <w:p/>
    <w:p>
      <w:pPr/>
      <w:r>
        <w:rPr/>
        <w:t xml:space="preserve">وشرح ’’الجامع الكبير’’ وشرح ’’الهداية’’ ولم يكمله وكتاب ’’أحكام الرمي والسبق والمحلل’’ وكتابين في ’’الفرائض’’ مبسوطا وآخر متوسطا، وشرح ’’المقرب’’ لأبن عصفور في النحو وشرح ’’عروض’’ ابن الحاجب، وشرح ’’الشمسية’’ في المنطق وشرح ’’التبصرة’’ في الهيئة، وكتاب ’’الأبحاث الجلية في الرد على ابن تيمية’’.</w:t>
      </w:r>
    </w:p>
    <w:p/>
    <w:p>
      <w:pPr/>
      <w:r>
        <w:rPr/>
        <w:t xml:space="preserve">وكانت وفاته بالقاهرة مستهل جمادى لأولى سنة أربع وأربعين وسبعمائة ودفن بتربة أبيه خارج باب النصر.</w:t>
      </w:r>
    </w:p>
    <w:p/>
    <w:p>
      <w:pPr/>
      <w:r>
        <w:rPr/>
        <w:t xml:space="preserve">ومولده بالقاهرة سنة إحدى وثمانين وستمائة.</w:t>
      </w:r>
    </w:p>
    <w:p>
      <w:pPr>
        <w:jc w:val="start"/>
        <w:bidi/>
      </w:pPr>
      <w:r>
        <w:rPr>
          <w:sz w:val="24"/>
          <w:szCs w:val="24"/>
          <w:b w:val="1"/>
          <w:bCs w:val="1"/>
          <w:rtl/>
        </w:rPr>
        <w:t xml:space="preserve">
تاج التراجم في طبقات الحنفية،(دار القلم - دمشق،1992،ط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2026-07-29T07:26:25+03:00</dcterms:created>
  <dcterms:modified xsi:type="dcterms:W3CDTF">2026-07-29T07:26:25+03:00</dcterms:modified>
</cp:coreProperties>
</file>

<file path=docProps/custom.xml><?xml version="1.0" encoding="utf-8"?>
<Properties xmlns="http://schemas.openxmlformats.org/officeDocument/2006/custom-properties" xmlns:vt="http://schemas.openxmlformats.org/officeDocument/2006/docPropsVTypes"/>
</file>