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القدوري
</w:t>
      </w:r>
    </w:p>
    <w:p>
      <w:pPr>
        <w:jc w:val="start"/>
        <w:bidi/>
      </w:pPr>
      <w:r>
        <w:rPr>
          <w:rFonts w:ascii="arial" w:hAnsi="arial" w:eastAsia="arial" w:cs="arial"/>
          <w:sz w:val="28"/>
          <w:szCs w:val="28"/>
          <w:b w:val="1"/>
          <w:bCs w:val="1"/>
          <w:rtl/>
        </w:rPr>
        <w:t xml:space="preserve">أحمد بن محمد، القدوري
</w:t>
      </w:r>
    </w:p>
    <w:p>
      <w:pPr/>
      <w:r>
        <w:rPr/>
        <w:t xml:space="preserve">أحمد بن محمد، القدوري أحمد بن محمد بن أحمد بن جعفر بن حمدان، أبو الحسين، بن أبي بكر القدوري، البغدادي، صاحب ’’المختصر’’.</w:t>
      </w:r>
    </w:p>
    <w:p/>
    <w:p>
      <w:pPr/>
      <w:r>
        <w:rPr/>
        <w:t xml:space="preserve">ولد سنة اثنتين وستين وثلاثمائة.</w:t>
      </w:r>
    </w:p>
    <w:p/>
    <w:p>
      <w:pPr/>
      <w:r>
        <w:rPr/>
        <w:t xml:space="preserve">وتفقه على أبي عبد الله محمد بن يحيى الجرجاني.</w:t>
      </w:r>
    </w:p>
    <w:p/>
    <w:p>
      <w:pPr/>
      <w:r>
        <w:rPr/>
        <w:t xml:space="preserve">وروى الحديث وكان صدوقا.</w:t>
      </w:r>
    </w:p>
    <w:p/>
    <w:p>
      <w:pPr/>
      <w:r>
        <w:rPr/>
        <w:t xml:space="preserve">وانتهت إليه رئاسة الحنفية بالعراق. وعظم عندهم قدره، وارتفع جاهه. وكان حسن العبارة في النظر، جريئا بلسانه مديما لتلاوة القرآن.</w:t>
      </w:r>
    </w:p>
    <w:p/>
    <w:p>
      <w:pPr/>
      <w:r>
        <w:rPr/>
        <w:t xml:space="preserve">صنف ’’المختصر’’ وشرح ’’مختصر’’ الكرخي.</w:t>
      </w:r>
    </w:p>
    <w:p/>
    <w:p>
      <w:pPr/>
      <w:r>
        <w:rPr/>
        <w:t xml:space="preserve">قلت: وصنف كتاب ’’التجريد’’ في سبعة أسفار، يشتمل على الخلاف بين الشافعي وأبي حنيفة وأصحابه؛ شرع في إملائه سنة خمس وأربعمائة. وكتاب ’’التقريب’’ في مسائل الخلاف بين أبي حنيفة وأصحابه مجردا عن الدلائل. ثم صنف ’’التقريب’’ الثاني فذكر المسائل بأدلتها.</w:t>
      </w:r>
    </w:p>
    <w:p/>
    <w:p>
      <w:pPr/>
      <w:r>
        <w:rPr/>
        <w:t xml:space="preserve">وله ’’جزء حديثي’’ رويناه عنه.</w:t>
      </w:r>
    </w:p>
    <w:p/>
    <w:p>
      <w:pPr/>
      <w:r>
        <w:rPr/>
        <w:t xml:space="preserve">مات ببغداد في يوم الأحد منتصف رجب سنة ثمان وعشرين وأربعمائة.</w:t>
      </w:r>
    </w:p>
    <w:p/>
    <w:p>
      <w:pPr/>
      <w:r>
        <w:rPr/>
        <w:t xml:space="preserve">وقال الذهبي: خامس رجب.</w:t>
      </w:r>
    </w:p>
    <w:p/>
    <w:p>
      <w:pPr/>
      <w:r>
        <w:rPr/>
        <w:t xml:space="preserve">روى عنه الخطيب وقال: كان صدوقا.</w:t>
      </w:r>
    </w:p>
    <w:p/>
    <w:p>
      <w:pPr/>
      <w:r>
        <w:rPr/>
        <w:t xml:space="preserve">وكان يناظر الشيخ أبا حامد الإسفراييني.</w:t>
      </w:r>
    </w:p>
    <w:p/>
    <w:p>
      <w:pPr/>
      <w:r>
        <w:rPr/>
        <w:t xml:space="preserve">ولا أدري سبب نسبته إلى القدور.</w:t>
      </w:r>
    </w:p>
    <w:p>
      <w:pPr>
        <w:jc w:val="start"/>
        <w:bidi/>
      </w:pPr>
      <w:r>
        <w:rPr>
          <w:sz w:val="24"/>
          <w:szCs w:val="24"/>
          <w:b w:val="1"/>
          <w:bCs w:val="1"/>
          <w:rtl/>
        </w:rPr>
        <w:t xml:space="preserve">
تاج التراجم في طبقات الحنفية،(دار القلم - دمشق،1992،ط 1،ج 1،ص 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2026-10-15T17:40:04+03:00</dcterms:created>
  <dcterms:modified xsi:type="dcterms:W3CDTF">2026-10-15T17:40:04+03:00</dcterms:modified>
</cp:coreProperties>
</file>

<file path=docProps/custom.xml><?xml version="1.0" encoding="utf-8"?>
<Properties xmlns="http://schemas.openxmlformats.org/officeDocument/2006/custom-properties" xmlns:vt="http://schemas.openxmlformats.org/officeDocument/2006/docPropsVTypes"/>
</file>