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بكر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بكر القزويني
</w:t>
      </w:r>
    </w:p>
    <w:p>
      <w:pPr/>
      <w:r>
        <w:rPr/>
        <w:t xml:space="preserve">أحمد بن أبي بكر القزويني أحمد بن أبي بكر بن عبد الوهاب، بديع الدين، أبو عبد الله، القزويني.</w:t>
      </w:r>
    </w:p>
    <w:p/>
    <w:p>
      <w:pPr/>
      <w:r>
        <w:rPr/>
        <w:t xml:space="preserve">له كتاب ’’الجامع الحريز الحاوي لعلوم كتاب الله العزيز’’.</w:t>
      </w:r>
    </w:p>
    <w:p/>
    <w:p>
      <w:pPr/>
      <w:r>
        <w:rPr/>
        <w:t xml:space="preserve">كان مقيما بسيواس في سنة عشرين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2026-07-28T12:46:56+03:00</dcterms:created>
  <dcterms:modified xsi:type="dcterms:W3CDTF">2026-07-28T12:46:56+03:00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