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بكر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بكر القزويني
</w:t>
      </w:r>
    </w:p>
    <w:p>
      <w:pPr/>
      <w:r>
        <w:rPr/>
        <w:t xml:space="preserve">أحمد بن أبي بكر القزويني أحمد بن أبي بكر بن عبد الوهاب، بديع الدين، أبو عبد الله، القزويني.</w:t>
      </w:r>
    </w:p>
    <w:p/>
    <w:p>
      <w:pPr/>
      <w:r>
        <w:rPr/>
        <w:t xml:space="preserve">له كتاب ’’الجامع الحريز الحاوي لعلوم كتاب الله العزيز’’.</w:t>
      </w:r>
    </w:p>
    <w:p/>
    <w:p>
      <w:pPr/>
      <w:r>
        <w:rPr/>
        <w:t xml:space="preserve">كان مقيما بسيواس في سنة 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2026-10-15T16:33:13+03:00</dcterms:created>
  <dcterms:modified xsi:type="dcterms:W3CDTF">2026-10-15T16:33:13+03:00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