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إبراهيم بن يوسف.</w:t>
      </w:r>
    </w:p>
    <w:p/>
    <w:p>
      <w:pPr/>
      <w:r>
        <w:rPr/>
        <w:t xml:space="preserve">روى عن أبي يوسف، عن أبي حنيفة رحمه الله قال: ’’لا يحل لأحد أن يفتي بقولنا ما لم يعرف من أين قلناه’’</w:t>
      </w:r>
    </w:p>
    <w:p/>
    <w:p>
      <w:pPr/>
      <w:r>
        <w:rPr/>
        <w:t xml:space="preserve">قلت: وهذه الرواية هي التي حملتني على شرحي للقدوري، الذي ذكرت فيه من أين أخذوا علمهم.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*روى عن أبي يوسف، عن أبي حنيفة، أنه قال: لا يحل لأحد أن يفتي بقولنا ما لم يعرف من أين قلنا.</w:t>
      </w:r>
    </w:p>
    <w:p/>
    <w:p>
      <w:pPr/>
      <w:r>
        <w:rPr/>
        <w:t xml:space="preserve">قال في ’’ الجواهر ’’: ولعله الذي قبله،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2026-10-15T16:30:40+03:00</dcterms:created>
  <dcterms:modified xsi:type="dcterms:W3CDTF">2026-10-15T16:30:40+03:00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