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عمرو العاجى
</w:t>
      </w:r>
    </w:p>
    <w:p>
      <w:pPr>
        <w:jc w:val="start"/>
        <w:bidi/>
      </w:pPr>
      <w:r>
        <w:rPr>
          <w:rFonts w:ascii="arial" w:hAnsi="arial" w:eastAsia="arial" w:cs="arial"/>
          <w:sz w:val="28"/>
          <w:szCs w:val="28"/>
          <w:b w:val="1"/>
          <w:bCs w:val="1"/>
          <w:rtl/>
        </w:rPr>
        <w:t xml:space="preserve">معاوية بن عمرو العاجى
</w:t>
      </w:r>
    </w:p>
    <w:p>
      <w:pPr/>
      <w:r>
        <w:rPr/>
        <w:t xml:space="preserve">معاوية بن عمرو العاجى. عن سفيان بن عيينة.</w:t>
      </w:r>
    </w:p>
    <w:p/>
    <w:p>
      <w:pPr/>
      <w:r>
        <w:rPr/>
        <w:t xml:space="preserve">بصري.</w:t>
      </w:r>
    </w:p>
    <w:p/>
    <w:p>
      <w:pPr/>
      <w:r>
        <w:rPr/>
        <w:t xml:space="preserve">واه.</w:t>
      </w:r>
    </w:p>
    <w:p/>
    <w:p>
      <w:pPr/>
      <w:r>
        <w:rPr/>
        <w:t xml:space="preserve">تركه الفلاس.</w:t>
      </w:r>
    </w:p>
    <w:p>
      <w:pPr>
        <w:jc w:val="start"/>
        <w:bidi/>
      </w:pPr>
      <w:r>
        <w:rPr>
          <w:sz w:val="24"/>
          <w:szCs w:val="24"/>
          <w:b w:val="1"/>
          <w:bCs w:val="1"/>
          <w:rtl/>
        </w:rPr>
        <w:t xml:space="preserve">
ميزان الاعتدال في نقد الرجال،(دار المعرفة للطباعة والنشر، بيروت - لبنان،1963،ط 1،ج 4،ص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عمرو البصري العاجي
</w:t>
      </w:r>
    </w:p>
    <w:p>
      <w:pPr/>
      <w:r>
        <w:rPr/>
        <w:t xml:space="preserve">معاوية بن عمرو البصري العاجي: عن ابن عيينة، تركه الفلاس، وفي الثقات: معاوية بن عمرو خمسة رجال.</w:t>
      </w:r>
    </w:p>
    <w:p>
      <w:pPr>
        <w:jc w:val="start"/>
        <w:bidi/>
      </w:pPr>
      <w:r>
        <w:rPr>
          <w:sz w:val="24"/>
          <w:szCs w:val="24"/>
          <w:b w:val="1"/>
          <w:bCs w:val="1"/>
          <w:rtl/>
        </w:rPr>
        <w:t xml:space="preserve">
ديوان الضعفاء،(مكتبة النهضة الحديثة - مكة،1967،ط 2،ج 1،ص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عمرو البصري العاجي
</w:t>
      </w:r>
    </w:p>
    <w:p>
      <w:pPr/>
      <w:r>
        <w:rPr/>
        <w:t xml:space="preserve">معاوية بن عمرو البصري العاجي </w:t>
      </w:r>
    </w:p>
    <w:p/>
    <w:p>
      <w:pPr/>
      <w:r>
        <w:rPr/>
        <w:t xml:space="preserve">كان يبيع العاج وحدث عن سفيان ابن عيينة خط عمرو بن علي الفلاس على حديثه ولم يكن عنده بصدوق وقال المصنف قلت وجملة من اسمه (معاوية بن عمرو) خمسة لم نعرف قدحا في غير هذا</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عمرو العاجي
</w:t>
      </w:r>
    </w:p>
    <w:p>
      <w:pPr/>
      <w:r>
        <w:rPr/>
        <w:t xml:space="preserve">معاوية بن عمرو العاجي </w:t>
      </w:r>
    </w:p>
    <w:p/>
    <w:p>
      <w:pPr/>
      <w:r>
        <w:rPr/>
        <w:t xml:space="preserve">بياع العاج بصري</w:t>
      </w:r>
    </w:p>
    <w:p/>
    <w:p>
      <w:pPr/>
      <w:r>
        <w:rPr/>
        <w:t xml:space="preserve">روى عن طلحة بن زيد الرقي وابن عيينة سمع منه أبي بالبصرة أيام الأنصاري وضرب على حديثه عمرو بن علي وجده في كتاب أبي فخط عليه لما لم يكن عنده صدوقاً نا عبد الرحمن قال سمعت أبي يقول هذا المخطوط عليه خط عمرو بن علي لما لم يكن عنده بصدوق.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2026-07-28T14:48:39+03:00</dcterms:created>
  <dcterms:modified xsi:type="dcterms:W3CDTF">2026-07-28T14:48:39+03:00</dcterms:modified>
</cp:coreProperties>
</file>

<file path=docProps/custom.xml><?xml version="1.0" encoding="utf-8"?>
<Properties xmlns="http://schemas.openxmlformats.org/officeDocument/2006/custom-properties" xmlns:vt="http://schemas.openxmlformats.org/officeDocument/2006/docPropsVTypes"/>
</file>