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
</w:t>
      </w:r>
    </w:p>
    <w:p>
      <w:pPr/>
      <w:r>
        <w:rPr/>
        <w:t xml:space="preserve">محمد بن يحيى [خ]، أبو غسان الكنانى.</w:t>
      </w:r>
    </w:p>
    <w:p/>
    <w:p>
      <w:pPr/>
      <w:r>
        <w:rPr/>
        <w:t xml:space="preserve">عن مالك.</w:t>
      </w:r>
    </w:p>
    <w:p/>
    <w:p>
      <w:pPr/>
      <w:r>
        <w:rPr/>
        <w:t xml:space="preserve">وعنه الذهلي.</w:t>
      </w:r>
    </w:p>
    <w:p/>
    <w:p>
      <w:pPr/>
      <w:r>
        <w:rPr/>
        <w:t xml:space="preserve">روى له البخاري.</w:t>
      </w:r>
    </w:p>
    <w:p/>
    <w:p>
      <w:pPr/>
      <w:r>
        <w:rPr/>
        <w:t xml:space="preserve">وقال السليماني: حديثه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2026-07-29T00:09:26+03:00</dcterms:created>
  <dcterms:modified xsi:type="dcterms:W3CDTF">2026-07-29T00:09:26+03:00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