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راشد
</w:t>
      </w:r>
    </w:p>
    <w:p>
      <w:pPr/>
      <w:r>
        <w:rPr/>
        <w:t xml:space="preserve">يحيى بن راشد من أهل قرطبة؛ يكنى: أبا بكر.</w:t>
      </w:r>
    </w:p>
    <w:p/>
    <w:p>
      <w:pPr/>
      <w:r>
        <w:rPr/>
        <w:t xml:space="preserve">سمع: من عبد الملك بن حبيب، وأبان بن عيسى بن دينار، وأبي زيد</w:t>
      </w:r>
    </w:p>
    <w:p/>
    <w:p>
      <w:pPr/>
      <w:r>
        <w:rPr/>
        <w:t xml:space="preserve">عبد الرحمن بن إبراهيم، والعتبي. وكان معتنيا بالعلم، جامعا له، حافظا للمسائل، عاقدا للوثائق مع ورع وزهد. ولما مات خلف بن محمد بن عمر بن لبابة: على زوجته؛ صارت عنده كتبه وسمع فيها. وقد روى عنه ابن لبابة. ذكر ذلك خالد. ووقع إلي بعض كتب يحيى بن راشد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2026-10-15T13:39:55+03:00</dcterms:created>
  <dcterms:modified xsi:type="dcterms:W3CDTF">2026-10-15T13:39:55+03:00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