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الملك بن محمد بن مروان بن خطاب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الملك بن محمد بن مروان بن خطاب العتقي
</w:t>
      </w:r>
    </w:p>
    <w:p>
      <w:pPr/>
      <w:r>
        <w:rPr/>
        <w:t xml:space="preserve">وليد بن عبد الملك بن محمد بن مروان بن خطاب العتقي من أهل تدمير؛ يكنى: أبا العباس.</w:t>
      </w:r>
    </w:p>
    <w:p/>
    <w:p>
      <w:pPr/>
      <w:r>
        <w:rPr/>
        <w:t xml:space="preserve">كان: أديبا حليما، عنى بالعلم وسمع من غير واحد واستقضى بتدمير وطليطلة، وكان عظيم الجاه، وافر المال، كريم الأخلاق متملكا. توفي: ليلة الجمعة لليلتين</w:t>
      </w:r>
    </w:p>
    <w:p/>
    <w:p>
      <w:pPr/>
      <w:r>
        <w:rPr/>
        <w:t xml:space="preserve">بقيتا من شهر ربيع الآخر سنة ثلاث وتسعين وثلاث مائة. ودفن يوم الجمعة بعد صلاة الجمعة.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2026-10-15T12:58:38+03:00</dcterms:created>
  <dcterms:modified xsi:type="dcterms:W3CDTF">2026-10-15T12:58:38+03:00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