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رستم
</w:t>
      </w:r>
    </w:p>
    <w:p>
      <w:pPr>
        <w:jc w:val="start"/>
        <w:bidi/>
      </w:pPr>
      <w:r>
        <w:rPr>
          <w:rFonts w:ascii="arial" w:hAnsi="arial" w:eastAsia="arial" w:cs="arial"/>
          <w:sz w:val="28"/>
          <w:szCs w:val="28"/>
          <w:b w:val="1"/>
          <w:bCs w:val="1"/>
          <w:rtl/>
        </w:rPr>
        <w:t xml:space="preserve">ابن رستم
</w:t>
      </w:r>
    </w:p>
    <w:p>
      <w:pPr/>
      <w:r>
        <w:rPr/>
        <w:t xml:space="preserve">ابن رستم  أفلح بن عبد الوهاب بن عبد الرحمن بن رستم: ثالث الائمة الرستميين من الاباضية في تيهرت بالجزائر. بويع بعد وفاة أبيه سنة 190 هـ. وكان داهية حازما فقيها، عمر في امارته ما لم يعمره احد ممن كان قبله. وعرف بقوة الساعد، قالوا: كان على باب وضرب رجلا - يدعى ابن فندين - على مفرق رأسه، وعليه بيضتان، فشقه نصفين، وهوى السيف إلى عتبة الباب السفلي فظن انه لم يزل ناشبا براسه ! قال الباروني: له عدة مؤلفات ورسائل واجوبة جامعة لنصائح ومواعظ وحكم. وأورد له نظما. </w:t>
      </w:r>
    </w:p>
    <w:p>
      <w:pPr>
        <w:jc w:val="start"/>
        <w:bidi/>
      </w:pPr>
      <w:r>
        <w:rPr>
          <w:sz w:val="24"/>
          <w:szCs w:val="24"/>
          <w:b w:val="1"/>
          <w:bCs w:val="1"/>
          <w:rtl/>
        </w:rPr>
        <w:t xml:space="preserve">
الأعلام،(دار العلم للملايين - بيروت،2002،ط 15،ج 2،ص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2026-09-21T21:47:00+03:00</dcterms:created>
  <dcterms:modified xsi:type="dcterms:W3CDTF">2026-09-21T21:47:00+03:00</dcterms:modified>
</cp:coreProperties>
</file>

<file path=docProps/custom.xml><?xml version="1.0" encoding="utf-8"?>
<Properties xmlns="http://schemas.openxmlformats.org/officeDocument/2006/custom-properties" xmlns:vt="http://schemas.openxmlformats.org/officeDocument/2006/docPropsVTypes"/>
</file>