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
</w:t>
      </w:r>
    </w:p>
    <w:p>
      <w:pPr/>
      <w:r>
        <w:rPr/>
        <w:t xml:space="preserve">مسعود بن عمر من أهل تدمير؛ يكنى: أبا القاسم.</w:t>
      </w:r>
    </w:p>
    <w:p/>
    <w:p>
      <w:pPr/>
      <w:r>
        <w:rPr/>
        <w:t xml:space="preserve">رحل وسمع: من محمد بن عبد الله بن عبد الحكم وغيره، وتوفي: سنة سبع وثلاث مائة.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 الأموي أبو القاسم
</w:t>
      </w:r>
    </w:p>
    <w:p>
      <w:pPr/>
      <w:r>
        <w:rPr/>
        <w:t xml:space="preserve">مسعود بن عمر الأموي أبو القاسم </w:t>
      </w:r>
    </w:p>
    <w:p/>
    <w:p>
      <w:pPr/>
      <w:r>
        <w:rPr/>
        <w:t xml:space="preserve">من أهل تدمير، روى عن محمد بن عبد الله بن عبد الحكم مات بالأندلس سنة سبع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2026-10-15T09:56:17+03:00</dcterms:created>
  <dcterms:modified xsi:type="dcterms:W3CDTF">2026-10-15T09:56:17+03:00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