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أحمد بن معروف، قاضى القضاة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أحمد بن معروف، قاضى القضاة
</w:t>
      </w:r>
    </w:p>
    <w:p>
      <w:pPr/>
      <w:r>
        <w:rPr/>
        <w:t xml:space="preserve">عبيد الله بن أحمد بن معروف، قاضى القضاة. أملى مجالس، ويروي عنه القاضي أبو يعلى.</w:t>
      </w:r>
    </w:p>
    <w:p/>
    <w:p>
      <w:pPr/>
      <w:r>
        <w:rPr/>
        <w:t xml:space="preserve">ووثقه الخطيب، لكنه معتزلي.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2026-07-28T05:05:04+03:00</dcterms:created>
  <dcterms:modified xsi:type="dcterms:W3CDTF">2026-07-28T05:05:04+03:00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