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محمد الأسدي، ويقال له دحيم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محمد الأسدي، ويقال له دحيم
</w:t>
      </w:r>
    </w:p>
    <w:p>
      <w:pPr/>
      <w:r>
        <w:rPr/>
        <w:t xml:space="preserve">عبد الرحمن بن محمد الأسدي، ويقال له دحيم. عن أبي بكر بن عياش، عن عاصم بحديث: من حفظ على أمتي أربعين حديثا دخل الجنة.</w:t>
      </w:r>
    </w:p>
    <w:p/>
    <w:p>
      <w:pPr/>
      <w:r>
        <w:rPr/>
        <w:t xml:space="preserve">وهذا باطل.</w:t>
      </w:r>
    </w:p>
    <w:p/>
    <w:p>
      <w:pPr/>
      <w:r>
        <w:rPr/>
        <w:t xml:space="preserve">تفرد عنه محمد بن حفص الحزامى.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588)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2026-07-29T04:16:47+03:00</dcterms:created>
  <dcterms:modified xsi:type="dcterms:W3CDTF">2026-07-29T04:16:47+03:00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