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 بن دحون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 بن دحون
</w:t>
      </w:r>
    </w:p>
    <w:p>
      <w:pPr/>
      <w:r>
        <w:rPr/>
        <w:t xml:space="preserve">محمد بن عمر بن دحون من أهل قبرة.</w:t>
      </w:r>
    </w:p>
    <w:p/>
    <w:p>
      <w:pPr/>
      <w:r>
        <w:rPr/>
        <w:t xml:space="preserve">كان: معتنيا بالمسائل، وحافظا لها، عاقدا للوثائق، وكان موصوفا بالخير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2026-10-15T03:35:22+03:00</dcterms:created>
  <dcterms:modified xsi:type="dcterms:W3CDTF">2026-10-15T03:35:22+03:00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