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جدعان لا يعرف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جدعان لا يعرف
</w:t>
      </w:r>
    </w:p>
    <w:p>
      <w:pPr/>
      <w:r>
        <w:rPr/>
        <w:t xml:space="preserve">عبد الرحمن بن جدعان لا يعرف. له عن ابن عمر.</w:t>
      </w:r>
    </w:p>
    <w:p/>
    <w:p>
      <w:pPr/>
      <w:r>
        <w:rPr/>
        <w:t xml:space="preserve">وعنه أبو جعفر الفزاري.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جدعان 
</w:t>
      </w:r>
    </w:p>
    <w:p>
      <w:pPr/>
      <w:r>
        <w:rPr/>
        <w:t xml:space="preserve">عبد الرحمن بن جدعان. </w:t>
      </w:r>
    </w:p>
    <w:p/>
    <w:p>
      <w:pPr/>
      <w:r>
        <w:rPr/>
        <w:t xml:space="preserve">سمع ابن عمر، وأنساً، رضي الله عنهم.</w:t>
      </w:r>
    </w:p>
    <w:p/>
    <w:p>
      <w:pPr/>
      <w:r>
        <w:rPr/>
        <w:t xml:space="preserve">روى عنه أبو جعفر الفراء.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2026-07-27T23:32:45+03:00</dcterms:created>
  <dcterms:modified xsi:type="dcterms:W3CDTF">2026-07-27T23:32:45+03:00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