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أصبغ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أصبغ بن لبيب
</w:t>
      </w:r>
    </w:p>
    <w:p>
      <w:pPr/>
      <w:r>
        <w:rPr/>
        <w:t xml:space="preserve">محمد بن أصبغ بن لبيب من أهل أستجة؛ يكنى: أبا عبد الله.</w:t>
      </w:r>
    </w:p>
    <w:p/>
    <w:p>
      <w:pPr/>
      <w:r>
        <w:rPr/>
        <w:t xml:space="preserve">سمع: بآستجة من عمر بن يوسف بن عمروس؛ وبقرطبة: من محمد بن عمر</w:t>
      </w:r>
    </w:p>
    <w:p/>
    <w:p>
      <w:pPr/>
      <w:r>
        <w:rPr/>
        <w:t xml:space="preserve">آبن لبابة، وأحمد بن خالد، ومحمد بن عبد الملك بن أيمن ونظرائهم.</w:t>
      </w:r>
    </w:p>
    <w:p/>
    <w:p>
      <w:pPr/>
      <w:r>
        <w:rPr/>
        <w:t xml:space="preserve">ورحل إلى المشرق فسمع بمكة: من أبي جعفر العقيلي، وأبي سعيد بن الأعرابي وغيرهما. وآنصرف إلى الأندلس فلزم الزهد والعبادة.</w:t>
      </w:r>
    </w:p>
    <w:p/>
    <w:p>
      <w:pPr/>
      <w:r>
        <w:rPr/>
        <w:t xml:space="preserve">وكان: متفننا في العلوم، بصيرا بالفرض، والحساب، والنحو، والغريب، ومعاني الشعر. وكان: شاعرا، وكان يتكلم في مذاهب العلم الباطني.</w:t>
      </w:r>
    </w:p>
    <w:p/>
    <w:p>
      <w:pPr/>
      <w:r>
        <w:rPr/>
        <w:t xml:space="preserve">قال لي إسماعيل: توفي: سنة ثمان وعشرين أو سنة سبع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2026-10-15T03:35:25+03:00</dcterms:created>
  <dcterms:modified xsi:type="dcterms:W3CDTF">2026-10-15T03:35:25+03:00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