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عقيل الباوردى صاحب النجاد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عقيل الباوردى صاحب النجاد
</w:t>
      </w:r>
    </w:p>
    <w:p>
      <w:pPr/>
      <w:r>
        <w:rPr/>
        <w:t xml:space="preserve">عبد الله بن محمد بن عقيل الباوردى صاحب النجاد. كان من بقايا</w:t>
      </w:r>
    </w:p>
    <w:p/>
    <w:p>
      <w:pPr/>
      <w:r>
        <w:rPr/>
        <w:t xml:space="preserve">الشيوخ بأصبهان.</w:t>
      </w:r>
    </w:p>
    <w:p/>
    <w:p>
      <w:pPr/>
      <w:r>
        <w:rPr/>
        <w:t xml:space="preserve">أدركه أبو مطيع.</w:t>
      </w:r>
    </w:p>
    <w:p/>
    <w:p>
      <w:pPr/>
      <w:r>
        <w:rPr/>
        <w:t xml:space="preserve">قال عبد الرحمن بن مندة: قال لي: من لم يكن معتزليا فليس بمسلم.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2026-07-29T00:55:13+03:00</dcterms:created>
  <dcterms:modified xsi:type="dcterms:W3CDTF">2026-07-29T00:55:13+03:00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