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عبد الله بن عصام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عبد الله بن عصام الفقيه
</w:t>
      </w:r>
    </w:p>
    <w:p>
      <w:pPr/>
      <w:r>
        <w:rPr/>
        <w:t xml:space="preserve">العباس بن عبد الله بن عصام الفقيه. عن عباس الدوري، وهلال بن العلاء.</w:t>
      </w:r>
    </w:p>
    <w:p/>
    <w:p>
      <w:pPr/>
      <w:r>
        <w:rPr/>
        <w:t xml:space="preserve">روى بهمذان سنة خمس وعشرين وثلثمائة.</w:t>
      </w:r>
    </w:p>
    <w:p/>
    <w:p>
      <w:pPr/>
      <w:r>
        <w:rPr/>
        <w:t xml:space="preserve">ليس بثقة، بان لهم أمره فتركوه.</w:t>
      </w:r>
    </w:p>
    <w:p/>
    <w:p>
      <w:pPr/>
      <w:r>
        <w:rPr/>
        <w:t xml:space="preserve">قال صالح بن أحمد: لم يكن ثقة ولا صدوقا.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2026-07-29T09:37:24+03:00</dcterms:created>
  <dcterms:modified xsi:type="dcterms:W3CDTF">2026-07-29T09:37:24+03:00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