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حكم
</w:t>
      </w:r>
    </w:p>
    <w:p>
      <w:pPr/>
      <w:r>
        <w:rPr/>
        <w:t xml:space="preserve">محمد بن سعيد بن حكم من أهل بجانة وأصله من قرطبة.</w:t>
      </w:r>
    </w:p>
    <w:p/>
    <w:p>
      <w:pPr/>
      <w:r>
        <w:rPr/>
        <w:t xml:space="preserve">سمع: كتب عبد الملك بن حبيب من ابنه. ورحل فلقى رجال سحنون.</w:t>
      </w:r>
    </w:p>
    <w:p/>
    <w:p>
      <w:pPr/>
      <w:r>
        <w:rPr/>
        <w:t xml:space="preserve">وكان: مفتيا ببجانة. وتوفي: سنة ثلاث وثلاث مائة.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2026-10-15T01:56:18+03:00</dcterms:created>
  <dcterms:modified xsi:type="dcterms:W3CDTF">2026-10-15T01:56:18+03:00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