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
</w:t>
      </w:r>
    </w:p>
    <w:p>
      <w:pPr/>
      <w:r>
        <w:rPr/>
        <w:t xml:space="preserve">محمد بن يوسف من أهل شذونة. وكان صاحبا لإسماعيل بن عمروس، وأصبغ بن منبه في السماع عند الشيوخ.</w:t>
      </w:r>
    </w:p>
    <w:p/>
    <w:p>
      <w:pPr/>
      <w:r>
        <w:rPr/>
        <w:t xml:space="preserve">وكان: صاحب صلاة شذونة: وولي القضاء في أيام الأمير عبد الله على بعض كور الغرب. قاله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2026-10-15T01:54:51+03:00</dcterms:created>
  <dcterms:modified xsi:type="dcterms:W3CDTF">2026-10-15T01:54:51+03:00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