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معروف
</w:t>
      </w:r>
    </w:p>
    <w:p>
      <w:pPr/>
      <w:r>
        <w:rPr/>
        <w:t xml:space="preserve">مالك بن معروف من أهل ماردة؛ يكنى: أبا عبد الله.</w:t>
      </w:r>
    </w:p>
    <w:p/>
    <w:p>
      <w:pPr/>
      <w:r>
        <w:rPr/>
        <w:t xml:space="preserve">يروى عن عبد الملك بن حبيب توفي (رحمه الله): سنة أربع وستين ومائتين،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معروف أبو عبد الله
</w:t>
      </w:r>
    </w:p>
    <w:p>
      <w:pPr/>
      <w:r>
        <w:rPr/>
        <w:t xml:space="preserve">مالك بن معروف أبو عبد الله </w:t>
      </w:r>
    </w:p>
    <w:p/>
    <w:p>
      <w:pPr/>
      <w:r>
        <w:rPr/>
        <w:t xml:space="preserve">من أهل ماردة، كذا قيل قال الحميدي وأظنه لاردة، يروي عن عبد الملك بن حبيب، مات بالأندلس سنة أربع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2026-10-15T00:07:47+03:00</dcterms:created>
  <dcterms:modified xsi:type="dcterms:W3CDTF">2026-10-15T00:07:47+03:00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