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قاسم بن موسى بن يونس بن موسى بن عيسى بن عصام بن رامل الضبي
</w:t>
      </w:r>
    </w:p>
    <w:p>
      <w:pPr>
        <w:jc w:val="start"/>
        <w:bidi/>
      </w:pPr>
      <w:r>
        <w:rPr>
          <w:rFonts w:ascii="arial" w:hAnsi="arial" w:eastAsia="arial" w:cs="arial"/>
          <w:sz w:val="28"/>
          <w:szCs w:val="28"/>
          <w:b w:val="1"/>
          <w:bCs w:val="1"/>
          <w:rtl/>
        </w:rPr>
        <w:t xml:space="preserve">قاسم بن موسى بن يونس بن موسى بن عيسى بن عصام بن رامل الضبي
</w:t>
      </w:r>
    </w:p>
    <w:p>
      <w:pPr/>
      <w:r>
        <w:rPr/>
        <w:t xml:space="preserve">قاسم بن موسى بن يونس بن موسى بن عيسى بن عصام بن رامل الضبي من أهل قرطبة؛ يكنى: أبا محمد.</w:t>
      </w:r>
    </w:p>
    <w:p/>
    <w:p>
      <w:pPr/>
      <w:r>
        <w:rPr/>
        <w:t xml:space="preserve">سمع: من محمد بن معاوية القرشي، وأبي بكر الدينوري، وغيرهما. وعني بقراءة المسائل، ونسب إلى حفظها ثم تأخر، وقد كتب عنه. توفي يوم الخميس لست عشرة ليلة خلت من جمادى الأولى سنة اثنتين وتسعين وثلاث مائة.</w:t>
      </w:r>
    </w:p>
    <w:p/>
    <w:p/>
    <w:p>
      <w:pPr>
        <w:jc w:val="start"/>
        <w:bidi/>
      </w:pPr>
      <w:r>
        <w:rPr>
          <w:sz w:val="24"/>
          <w:szCs w:val="24"/>
          <w:b w:val="1"/>
          <w:bCs w:val="1"/>
          <w:rtl/>
        </w:rPr>
        <w:t xml:space="preserve">
تاريخ علماء الأندلس،( مكتبة الخانجي - القاهرة،1988،ط 2،ج 1،ص 412)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2026-10-14T23:11:21+03:00</dcterms:created>
  <dcterms:modified xsi:type="dcterms:W3CDTF">2026-10-14T23:11:21+03:00</dcterms:modified>
</cp:coreProperties>
</file>

<file path=docProps/custom.xml><?xml version="1.0" encoding="utf-8"?>
<Properties xmlns="http://schemas.openxmlformats.org/officeDocument/2006/custom-properties" xmlns:vt="http://schemas.openxmlformats.org/officeDocument/2006/docPropsVTypes"/>
</file>