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هارون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هارون بن ثعلبة
</w:t>
      </w:r>
    </w:p>
    <w:p>
      <w:pPr/>
      <w:r>
        <w:rPr/>
        <w:t xml:space="preserve">قاسم بن هارون بن ثعلبة من أهل جيان. قال: خالد: كان فقيها بحاضرة جيان، وحج، وكانت له بالمشرق عناية، وتوفي (رحمه الله): في أول ولاية الأمير عبد الله بن محمد، وقرأته بخط محمد بن أحمد بن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هارون بن رفاعة بن ثعلبة
</w:t>
      </w:r>
    </w:p>
    <w:p>
      <w:pPr/>
      <w:r>
        <w:rPr/>
        <w:t xml:space="preserve">قاسم بن هارون بن رفاعة بن ثعلبة </w:t>
      </w:r>
    </w:p>
    <w:p/>
    <w:p>
      <w:pPr/>
      <w:r>
        <w:rPr/>
        <w:t xml:space="preserve">أندلسي، مات بها في أول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2026-10-14T22:11:50+03:00</dcterms:created>
  <dcterms:modified xsi:type="dcterms:W3CDTF">2026-10-14T22:11:50+03:00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