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حجر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العدوي
</w:t>
      </w:r>
    </w:p>
    <w:p>
      <w:pPr/>
      <w:r>
        <w:rPr/>
        <w:t xml:space="preserve">حجر العدوي. عن علي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العدوي
</w:t>
      </w:r>
    </w:p>
    <w:p>
      <w:pPr/>
      <w:r>
        <w:rPr/>
        <w:t xml:space="preserve">حجر العدوي </w:t>
      </w:r>
    </w:p>
    <w:p/>
    <w:p>
      <w:pPr/>
      <w:r>
        <w:rPr/>
        <w:t xml:space="preserve">عن علي وعنه رجل لم يصح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العدوي عن علي.
</w:t>
      </w:r>
    </w:p>
    <w:p>
      <w:pPr/>
      <w:r>
        <w:rPr/>
        <w:t xml:space="preserve">حجر العدوي عن علي. </w:t>
      </w:r>
    </w:p>
    <w:p/>
    <w:p>
      <w:pPr/>
      <w:r>
        <w:rPr/>
        <w:t xml:space="preserve">ذكره الترمذي في «الزكاة».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2026-07-29T05:13:57+03:00</dcterms:created>
  <dcterms:modified xsi:type="dcterms:W3CDTF">2026-07-29T05:13:57+03:00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