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التميمي
</w:t>
      </w:r>
    </w:p>
    <w:p>
      <w:pPr>
        <w:jc w:val="start"/>
        <w:bidi/>
      </w:pPr>
      <w:r>
        <w:rPr>
          <w:rFonts w:ascii="arial" w:hAnsi="arial" w:eastAsia="arial" w:cs="arial"/>
          <w:sz w:val="28"/>
          <w:szCs w:val="28"/>
          <w:b w:val="1"/>
          <w:bCs w:val="1"/>
          <w:rtl/>
        </w:rPr>
        <w:t xml:space="preserve">التميمي
</w:t>
      </w:r>
    </w:p>
    <w:p>
      <w:pPr/>
      <w:r>
        <w:rPr/>
        <w:t xml:space="preserve">التميمي  إسماعيل بن محمد باشة التميمي: فقيه مالكي من دعاة الحكومة العثمانية وخصوم الدعوة الإصلاحية بنجد. استوطن تونس وتولى قضاءها والإفتاء بها وعزل، وأعيد إلى أن توفي. له رسائل وفتاوي، منها ما هو في الرد على الشيخ محمد بن عبد الوهاب الحنبلي القائم يومئذ بالدعوة إلى الإصلاح الديني، ومنها (إجازة - خ) بخطه، في خزانة الطاهر بن عاشور في تونس أخذت خطه عن الصفحة الأخيرة منها. </w:t>
      </w:r>
    </w:p>
    <w:p>
      <w:pPr>
        <w:jc w:val="start"/>
        <w:bidi/>
      </w:pPr>
      <w:r>
        <w:rPr>
          <w:sz w:val="24"/>
          <w:szCs w:val="24"/>
          <w:b w:val="1"/>
          <w:bCs w:val="1"/>
          <w:rtl/>
        </w:rPr>
        <w:t xml:space="preserve">
الأعلام،(دار العلم للملايين - بيروت،2002،ط 15،ج 1،ص 326)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2026-09-20T17:21:39+03:00</dcterms:created>
  <dcterms:modified xsi:type="dcterms:W3CDTF">2026-09-20T17:21:39+03:00</dcterms:modified>
</cp:coreProperties>
</file>

<file path=docProps/custom.xml><?xml version="1.0" encoding="utf-8"?>
<Properties xmlns="http://schemas.openxmlformats.org/officeDocument/2006/custom-properties" xmlns:vt="http://schemas.openxmlformats.org/officeDocument/2006/docPropsVTypes"/>
</file>